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DDA2D" w14:textId="77777777" w:rsidR="00EB66AE" w:rsidRPr="00F3215E" w:rsidRDefault="00EB66AE" w:rsidP="00F3215E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3215E">
        <w:rPr>
          <w:rFonts w:eastAsia="Times New Roman" w:cstheme="minorHAnsi"/>
          <w:b/>
          <w:sz w:val="24"/>
          <w:szCs w:val="24"/>
          <w:lang w:eastAsia="pl-PL"/>
        </w:rPr>
        <w:t>Informacja o podziale czynności oraz sposobie uczestniczenia</w:t>
      </w:r>
    </w:p>
    <w:p w14:paraId="54B7D041" w14:textId="77777777" w:rsidR="00EB66AE" w:rsidRPr="00F3215E" w:rsidRDefault="00EB66AE" w:rsidP="00F3215E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3215E">
        <w:rPr>
          <w:rFonts w:eastAsia="Times New Roman" w:cstheme="minorHAnsi"/>
          <w:b/>
          <w:sz w:val="24"/>
          <w:szCs w:val="24"/>
          <w:lang w:eastAsia="pl-PL"/>
        </w:rPr>
        <w:t xml:space="preserve">w przydziale spraw w Sądzie Apelacyjnym w Białymstoku </w:t>
      </w:r>
    </w:p>
    <w:p w14:paraId="2ABD3AA3" w14:textId="079D2451" w:rsidR="00EB66AE" w:rsidRPr="00F3215E" w:rsidRDefault="00EB66AE" w:rsidP="00F3215E">
      <w:pPr>
        <w:numPr>
          <w:ilvl w:val="0"/>
          <w:numId w:val="1"/>
        </w:numPr>
        <w:spacing w:after="36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 w:rsidRPr="00F3215E">
        <w:rPr>
          <w:rFonts w:eastAsia="Times New Roman" w:cstheme="minorHAnsi"/>
          <w:b/>
          <w:sz w:val="24"/>
          <w:szCs w:val="24"/>
          <w:lang w:eastAsia="pl-PL"/>
        </w:rPr>
        <w:t>obowiązujący od</w:t>
      </w:r>
      <w:r w:rsidR="0081325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56198">
        <w:rPr>
          <w:rFonts w:eastAsia="Times New Roman" w:cstheme="minorHAnsi"/>
          <w:b/>
          <w:sz w:val="24"/>
          <w:szCs w:val="24"/>
          <w:lang w:eastAsia="pl-PL"/>
        </w:rPr>
        <w:t>06</w:t>
      </w:r>
      <w:r w:rsidRPr="00F3215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56198">
        <w:rPr>
          <w:rFonts w:eastAsia="Times New Roman" w:cstheme="minorHAnsi"/>
          <w:b/>
          <w:sz w:val="24"/>
          <w:szCs w:val="24"/>
          <w:lang w:eastAsia="pl-PL"/>
        </w:rPr>
        <w:t>kwietni</w:t>
      </w:r>
      <w:bookmarkStart w:id="0" w:name="_GoBack"/>
      <w:bookmarkEnd w:id="0"/>
      <w:r w:rsidR="00813255">
        <w:rPr>
          <w:rFonts w:eastAsia="Times New Roman" w:cstheme="minorHAnsi"/>
          <w:b/>
          <w:sz w:val="24"/>
          <w:szCs w:val="24"/>
          <w:lang w:eastAsia="pl-PL"/>
        </w:rPr>
        <w:t>a</w:t>
      </w:r>
      <w:r w:rsidRPr="00F3215E">
        <w:rPr>
          <w:rFonts w:eastAsia="Times New Roman" w:cstheme="minorHAnsi"/>
          <w:b/>
          <w:sz w:val="24"/>
          <w:szCs w:val="24"/>
          <w:lang w:eastAsia="pl-PL"/>
        </w:rPr>
        <w:t xml:space="preserve"> 202</w:t>
      </w:r>
      <w:r w:rsidR="00813255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F3215E">
        <w:rPr>
          <w:rFonts w:eastAsia="Times New Roman" w:cstheme="minorHAnsi"/>
          <w:b/>
          <w:sz w:val="24"/>
          <w:szCs w:val="24"/>
          <w:lang w:eastAsia="pl-PL"/>
        </w:rPr>
        <w:t xml:space="preserve"> r. </w:t>
      </w:r>
    </w:p>
    <w:p w14:paraId="387F3DB5" w14:textId="77777777" w:rsidR="00EB66AE" w:rsidRPr="00F3215E" w:rsidRDefault="00EB66AE" w:rsidP="00F3215E">
      <w:pPr>
        <w:numPr>
          <w:ilvl w:val="0"/>
          <w:numId w:val="1"/>
        </w:numPr>
        <w:spacing w:after="36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 w:rsidRPr="00F3215E">
        <w:rPr>
          <w:rFonts w:eastAsia="Times New Roman" w:cstheme="minorHAnsi"/>
          <w:b/>
          <w:sz w:val="24"/>
          <w:szCs w:val="24"/>
          <w:lang w:eastAsia="pl-PL"/>
        </w:rPr>
        <w:t>zmieniony w dniach:</w:t>
      </w:r>
    </w:p>
    <w:p w14:paraId="046F0EF7" w14:textId="77777777" w:rsidR="00EB66AE" w:rsidRPr="00F3215E" w:rsidRDefault="00EB66AE" w:rsidP="00F3215E">
      <w:pPr>
        <w:numPr>
          <w:ilvl w:val="0"/>
          <w:numId w:val="2"/>
        </w:numPr>
        <w:spacing w:after="36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 w:rsidRPr="00F3215E">
        <w:rPr>
          <w:rFonts w:eastAsia="Times New Roman" w:cstheme="minorHAnsi"/>
          <w:b/>
          <w:sz w:val="24"/>
          <w:szCs w:val="24"/>
          <w:lang w:eastAsia="pl-PL"/>
        </w:rPr>
        <w:t>....................................................................................</w:t>
      </w:r>
    </w:p>
    <w:p w14:paraId="339DD4C6" w14:textId="77777777" w:rsidR="00EB66AE" w:rsidRPr="00F3215E" w:rsidRDefault="00EB66AE" w:rsidP="00F3215E">
      <w:pPr>
        <w:numPr>
          <w:ilvl w:val="0"/>
          <w:numId w:val="2"/>
        </w:numPr>
        <w:spacing w:after="36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 w:rsidRPr="00F3215E">
        <w:rPr>
          <w:rFonts w:eastAsia="Times New Roman" w:cstheme="minorHAnsi"/>
          <w:b/>
          <w:sz w:val="24"/>
          <w:szCs w:val="24"/>
          <w:lang w:eastAsia="pl-PL"/>
        </w:rPr>
        <w:t>...................................................................................</w:t>
      </w:r>
    </w:p>
    <w:p w14:paraId="028D9373" w14:textId="1E04C30A" w:rsidR="00EB66AE" w:rsidRDefault="00F3215E" w:rsidP="00F3215E">
      <w:pPr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I. </w:t>
      </w:r>
      <w:r w:rsidR="00EB66AE" w:rsidRPr="00F3215E">
        <w:rPr>
          <w:rFonts w:eastAsia="Times New Roman" w:cstheme="minorHAnsi"/>
          <w:sz w:val="24"/>
          <w:szCs w:val="24"/>
          <w:lang w:eastAsia="pl-PL"/>
        </w:rPr>
        <w:t>Przydział sędziów, asesorów sądowych i referendarzy sądowych do wydziałów sądu,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B66AE" w:rsidRPr="00F3215E">
        <w:rPr>
          <w:rFonts w:eastAsia="Times New Roman" w:cstheme="minorHAnsi"/>
          <w:sz w:val="24"/>
          <w:szCs w:val="24"/>
          <w:lang w:eastAsia="pl-PL"/>
        </w:rPr>
        <w:t>zakres ich obowiązków i sposób uczestniczenia w przydziale spraw i zadań sądu:</w:t>
      </w:r>
    </w:p>
    <w:p w14:paraId="37BB14AD" w14:textId="1AA565CD" w:rsidR="00FE013A" w:rsidRDefault="00FE013A" w:rsidP="00F3215E">
      <w:pPr>
        <w:spacing w:after="360" w:line="276" w:lineRule="auto"/>
        <w:rPr>
          <w:rFonts w:cstheme="minorHAnsi"/>
          <w:sz w:val="24"/>
          <w:szCs w:val="24"/>
        </w:rPr>
      </w:pPr>
      <w:r w:rsidRPr="00F3215E">
        <w:rPr>
          <w:rFonts w:cstheme="minorHAnsi"/>
          <w:sz w:val="24"/>
          <w:szCs w:val="24"/>
        </w:rPr>
        <w:t>Lp.</w:t>
      </w:r>
      <w:r>
        <w:rPr>
          <w:rFonts w:cstheme="minorHAnsi"/>
          <w:sz w:val="24"/>
          <w:szCs w:val="24"/>
        </w:rPr>
        <w:t xml:space="preserve"> Wydział</w:t>
      </w:r>
      <w:r w:rsidR="00B2641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B26419">
        <w:rPr>
          <w:rFonts w:cstheme="minorHAnsi"/>
          <w:b/>
          <w:sz w:val="24"/>
          <w:szCs w:val="24"/>
        </w:rPr>
        <w:t xml:space="preserve">II </w:t>
      </w:r>
      <w:r w:rsidR="00B26419" w:rsidRPr="00B26419">
        <w:rPr>
          <w:rFonts w:cstheme="minorHAnsi"/>
          <w:b/>
          <w:sz w:val="24"/>
          <w:szCs w:val="24"/>
        </w:rPr>
        <w:t xml:space="preserve">Wydział </w:t>
      </w:r>
      <w:r w:rsidRPr="00B26419">
        <w:rPr>
          <w:rFonts w:cstheme="minorHAnsi"/>
          <w:b/>
          <w:sz w:val="24"/>
          <w:szCs w:val="24"/>
        </w:rPr>
        <w:t>Karny</w:t>
      </w:r>
    </w:p>
    <w:p w14:paraId="504C5B84" w14:textId="49EB288C" w:rsidR="00FE013A" w:rsidRDefault="00FE013A" w:rsidP="00F3215E">
      <w:pPr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Imię (imiona) </w:t>
      </w:r>
      <w:r w:rsidRPr="00FE013A">
        <w:rPr>
          <w:rFonts w:eastAsia="Times New Roman" w:cstheme="minorHAnsi"/>
          <w:b/>
          <w:sz w:val="24"/>
          <w:szCs w:val="24"/>
          <w:lang w:eastAsia="pl-PL"/>
        </w:rPr>
        <w:t>Tomasz</w:t>
      </w:r>
      <w:r>
        <w:rPr>
          <w:rFonts w:eastAsia="Times New Roman" w:cstheme="minorHAnsi"/>
          <w:b/>
          <w:sz w:val="24"/>
          <w:szCs w:val="24"/>
          <w:lang w:eastAsia="pl-PL"/>
        </w:rPr>
        <w:t>;</w:t>
      </w:r>
      <w:r w:rsidRPr="00FE013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Nazwisko </w:t>
      </w:r>
      <w:r w:rsidRPr="00FE013A">
        <w:rPr>
          <w:rFonts w:eastAsia="Times New Roman" w:cstheme="minorHAnsi"/>
          <w:b/>
          <w:sz w:val="24"/>
          <w:szCs w:val="24"/>
          <w:lang w:eastAsia="pl-PL"/>
        </w:rPr>
        <w:t>Uściłko</w:t>
      </w:r>
      <w:r>
        <w:rPr>
          <w:rFonts w:eastAsia="Times New Roman" w:cstheme="minorHAnsi"/>
          <w:b/>
          <w:sz w:val="24"/>
          <w:szCs w:val="24"/>
          <w:lang w:eastAsia="pl-PL"/>
        </w:rPr>
        <w:t>;</w:t>
      </w:r>
      <w:r>
        <w:rPr>
          <w:rFonts w:eastAsia="Times New Roman" w:cstheme="minorHAnsi"/>
          <w:sz w:val="24"/>
          <w:szCs w:val="24"/>
          <w:lang w:eastAsia="pl-PL"/>
        </w:rPr>
        <w:t xml:space="preserve"> Podstawowy wskaźnik przydziału </w:t>
      </w:r>
      <w:r w:rsidRPr="00FE013A">
        <w:rPr>
          <w:rFonts w:eastAsia="Times New Roman" w:cstheme="minorHAnsi"/>
          <w:b/>
          <w:sz w:val="24"/>
          <w:szCs w:val="24"/>
          <w:lang w:eastAsia="pl-PL"/>
        </w:rPr>
        <w:t>100%</w:t>
      </w:r>
    </w:p>
    <w:p w14:paraId="56A1DC95" w14:textId="313FDEC2" w:rsidR="00FE013A" w:rsidRDefault="00FE013A" w:rsidP="00F3215E">
      <w:pPr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Uzasadnienie podstawowego wskaźnika przydziału niższego niż 100%</w:t>
      </w:r>
    </w:p>
    <w:p w14:paraId="66D6F06F" w14:textId="362696EE" w:rsidR="00813255" w:rsidRDefault="00FE013A" w:rsidP="00F3215E">
      <w:pPr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Wskaźniki przydziału inne niż podstawowy</w:t>
      </w:r>
      <w:r w:rsidR="00813255">
        <w:rPr>
          <w:rFonts w:eastAsia="Times New Roman" w:cstheme="minorHAnsi"/>
          <w:sz w:val="24"/>
          <w:szCs w:val="24"/>
          <w:lang w:eastAsia="pl-PL"/>
        </w:rPr>
        <w:t>;</w:t>
      </w:r>
    </w:p>
    <w:p w14:paraId="28130D9B" w14:textId="0A77EF5E" w:rsidR="00FE013A" w:rsidRDefault="00FE013A" w:rsidP="00F3215E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Wysokość wskaźnika</w:t>
      </w:r>
      <w:r w:rsidR="00813255">
        <w:rPr>
          <w:rFonts w:eastAsia="Times New Roman" w:cstheme="minorHAnsi"/>
          <w:sz w:val="24"/>
          <w:szCs w:val="24"/>
          <w:lang w:eastAsia="pl-PL"/>
        </w:rPr>
        <w:t>;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CE32D2C" w14:textId="1C57AB92" w:rsidR="00FE013A" w:rsidRDefault="00FE013A" w:rsidP="00FE013A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Stanowisko służbowe </w:t>
      </w:r>
      <w:r w:rsidRPr="00F3215E">
        <w:rPr>
          <w:rFonts w:cstheme="minorHAnsi"/>
          <w:b/>
          <w:sz w:val="24"/>
          <w:szCs w:val="24"/>
        </w:rPr>
        <w:t>sędzia Sądu</w:t>
      </w:r>
      <w:r>
        <w:rPr>
          <w:rFonts w:cstheme="minorHAnsi"/>
          <w:b/>
          <w:sz w:val="24"/>
          <w:szCs w:val="24"/>
        </w:rPr>
        <w:t xml:space="preserve"> </w:t>
      </w:r>
      <w:r w:rsidRPr="00F3215E">
        <w:rPr>
          <w:rFonts w:cstheme="minorHAnsi"/>
          <w:b/>
          <w:sz w:val="24"/>
          <w:szCs w:val="24"/>
        </w:rPr>
        <w:t>Apelacyjnego</w:t>
      </w:r>
      <w:r>
        <w:rPr>
          <w:rFonts w:cstheme="minorHAnsi"/>
          <w:b/>
          <w:sz w:val="24"/>
          <w:szCs w:val="24"/>
        </w:rPr>
        <w:t>;</w:t>
      </w:r>
    </w:p>
    <w:p w14:paraId="6FC9A79B" w14:textId="7BD2CC6C" w:rsidR="00FE013A" w:rsidRDefault="00FE013A" w:rsidP="00FE013A">
      <w:pPr>
        <w:spacing w:line="276" w:lineRule="auto"/>
        <w:rPr>
          <w:rFonts w:cstheme="minorHAnsi"/>
          <w:sz w:val="24"/>
          <w:szCs w:val="24"/>
        </w:rPr>
      </w:pPr>
      <w:r w:rsidRPr="00FE013A">
        <w:rPr>
          <w:rFonts w:cstheme="minorHAnsi"/>
          <w:sz w:val="24"/>
          <w:szCs w:val="24"/>
        </w:rPr>
        <w:t>Pełnione funkcje</w:t>
      </w:r>
      <w:r>
        <w:rPr>
          <w:rFonts w:cstheme="minorHAnsi"/>
          <w:sz w:val="24"/>
          <w:szCs w:val="24"/>
        </w:rPr>
        <w:t>; Inne indywidualne reguły przydziału; Obowiązki niezwiązane z przydziałem;</w:t>
      </w:r>
    </w:p>
    <w:p w14:paraId="60F94969" w14:textId="7AD78617" w:rsidR="00FE013A" w:rsidRDefault="00FE013A" w:rsidP="00FE013A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Inne ogólne reguły przydziału spraw i zadań sądu;</w:t>
      </w:r>
    </w:p>
    <w:p w14:paraId="39401E6C" w14:textId="4EB28772" w:rsidR="00FE013A" w:rsidRPr="00FE013A" w:rsidRDefault="00FE013A" w:rsidP="00FE013A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Informacje dodatkowe</w:t>
      </w:r>
    </w:p>
    <w:p w14:paraId="23865854" w14:textId="3202F4B6" w:rsidR="00EB66AE" w:rsidRDefault="00EB66AE" w:rsidP="00F3215E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F3215E">
        <w:rPr>
          <w:rFonts w:cstheme="minorHAnsi"/>
          <w:b/>
          <w:sz w:val="24"/>
          <w:szCs w:val="24"/>
        </w:rPr>
        <w:t>II</w:t>
      </w:r>
      <w:r w:rsidR="00F3215E">
        <w:rPr>
          <w:rFonts w:cstheme="minorHAnsi"/>
          <w:b/>
          <w:sz w:val="24"/>
          <w:szCs w:val="24"/>
        </w:rPr>
        <w:t xml:space="preserve"> </w:t>
      </w:r>
      <w:r w:rsidRPr="00F3215E">
        <w:rPr>
          <w:rFonts w:eastAsia="Times New Roman" w:cstheme="minorHAnsi"/>
          <w:b/>
          <w:color w:val="000000"/>
          <w:sz w:val="24"/>
          <w:szCs w:val="24"/>
          <w:lang w:eastAsia="pl-PL"/>
        </w:rPr>
        <w:t>Plan dyżurów oraz zastępstw sędziów, asesorów sądowych i referendarzy sądowych:</w:t>
      </w:r>
    </w:p>
    <w:p w14:paraId="629C6E1F" w14:textId="1A4036D0" w:rsidR="00221247" w:rsidRPr="00CD2900" w:rsidRDefault="00FE013A" w:rsidP="00CD2900">
      <w:pPr>
        <w:spacing w:after="0" w:line="276" w:lineRule="auto"/>
        <w:rPr>
          <w:rFonts w:cstheme="minorHAnsi"/>
          <w:b/>
          <w:sz w:val="24"/>
          <w:szCs w:val="24"/>
        </w:rPr>
      </w:pPr>
      <w:r w:rsidRPr="00FE013A">
        <w:rPr>
          <w:rFonts w:cstheme="minorHAnsi"/>
          <w:sz w:val="24"/>
          <w:szCs w:val="24"/>
        </w:rPr>
        <w:t>Lp. 1</w:t>
      </w:r>
      <w:r>
        <w:rPr>
          <w:rFonts w:cstheme="minorHAnsi"/>
          <w:b/>
          <w:sz w:val="24"/>
          <w:szCs w:val="24"/>
        </w:rPr>
        <w:t xml:space="preserve">; </w:t>
      </w:r>
      <w:r w:rsidRPr="00FE013A">
        <w:rPr>
          <w:rFonts w:cstheme="minorHAnsi"/>
          <w:sz w:val="24"/>
          <w:szCs w:val="24"/>
        </w:rPr>
        <w:t>Rodzaj spraw</w:t>
      </w:r>
      <w:r>
        <w:rPr>
          <w:rFonts w:cstheme="minorHAnsi"/>
          <w:b/>
          <w:sz w:val="24"/>
          <w:szCs w:val="24"/>
        </w:rPr>
        <w:t xml:space="preserve"> </w:t>
      </w:r>
      <w:r w:rsidRPr="00FE013A">
        <w:rPr>
          <w:rFonts w:eastAsia="Times New Roman" w:cstheme="minorHAnsi"/>
          <w:b/>
          <w:color w:val="000000"/>
          <w:sz w:val="24"/>
          <w:szCs w:val="24"/>
          <w:lang w:eastAsia="pl-PL"/>
        </w:rPr>
        <w:t>Wszystkie kategorie spraw wpływające do II Wydziału Karnego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Liczba dyżurnych i pełniących zastępstwa </w:t>
      </w:r>
      <w:r w:rsidR="00813255">
        <w:rPr>
          <w:rFonts w:eastAsia="Times New Roman" w:cstheme="minorHAnsi"/>
          <w:b/>
          <w:color w:val="000000"/>
          <w:sz w:val="24"/>
          <w:szCs w:val="24"/>
          <w:lang w:eastAsia="pl-PL"/>
        </w:rPr>
        <w:t>9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Wydział i/lub sędziowie, asesorzy sądowi i referendarze sądowi </w:t>
      </w:r>
      <w:r w:rsidRPr="00FE013A">
        <w:rPr>
          <w:rFonts w:eastAsia="Times New Roman" w:cstheme="minorHAnsi"/>
          <w:b/>
          <w:color w:val="000000"/>
          <w:sz w:val="24"/>
          <w:szCs w:val="24"/>
          <w:lang w:eastAsia="pl-PL"/>
        </w:rPr>
        <w:t>II Wydział Karny</w:t>
      </w:r>
    </w:p>
    <w:sectPr w:rsidR="00221247" w:rsidRPr="00CD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1D13"/>
    <w:multiLevelType w:val="hybridMultilevel"/>
    <w:tmpl w:val="64B87FE8"/>
    <w:lvl w:ilvl="0" w:tplc="A7B8AFD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24C0526"/>
    <w:multiLevelType w:val="hybridMultilevel"/>
    <w:tmpl w:val="57F6F69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68DF77DB"/>
    <w:multiLevelType w:val="hybridMultilevel"/>
    <w:tmpl w:val="99E45686"/>
    <w:lvl w:ilvl="0" w:tplc="45F2AD9A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79"/>
    <w:rsid w:val="00156198"/>
    <w:rsid w:val="00221247"/>
    <w:rsid w:val="00390579"/>
    <w:rsid w:val="00813255"/>
    <w:rsid w:val="00B26419"/>
    <w:rsid w:val="00CD2900"/>
    <w:rsid w:val="00EB66AE"/>
    <w:rsid w:val="00F3215E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E9AD"/>
  <w15:chartTrackingRefBased/>
  <w15:docId w15:val="{854E2DF1-A227-45CD-8E29-7BE545B1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6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6AE"/>
    <w:pPr>
      <w:ind w:left="720"/>
      <w:contextualSpacing/>
    </w:pPr>
  </w:style>
  <w:style w:type="table" w:styleId="Tabela-Siatka">
    <w:name w:val="Table Grid"/>
    <w:basedOn w:val="Standardowy"/>
    <w:uiPriority w:val="39"/>
    <w:rsid w:val="00EB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obowiązków sędzia Tomasz Uściłko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obowiązków sędzia Tomasz Uściłko</dc:title>
  <dc:subject/>
  <dc:creator>Pavtel Katarzyna</dc:creator>
  <cp:keywords/>
  <dc:description/>
  <cp:lastModifiedBy>Larkowski Paweł</cp:lastModifiedBy>
  <cp:revision>2</cp:revision>
  <cp:lastPrinted>2023-04-11T08:14:00Z</cp:lastPrinted>
  <dcterms:created xsi:type="dcterms:W3CDTF">2023-04-11T10:21:00Z</dcterms:created>
  <dcterms:modified xsi:type="dcterms:W3CDTF">2023-04-11T10:21:00Z</dcterms:modified>
</cp:coreProperties>
</file>