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745AD" w14:textId="77777777" w:rsidR="00631126" w:rsidRDefault="00631126" w:rsidP="00631126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Informacja o podziale czynności oraz sposobie uczestniczenia</w:t>
      </w:r>
    </w:p>
    <w:p w14:paraId="7558F162" w14:textId="77777777" w:rsidR="00631126" w:rsidRDefault="00631126" w:rsidP="00631126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w przydziale spraw w Sądzie Apelacyjnym w Białymstoku </w:t>
      </w:r>
    </w:p>
    <w:p w14:paraId="630A1C3B" w14:textId="3169221C" w:rsidR="00631126" w:rsidRDefault="00631126" w:rsidP="00631126">
      <w:pPr>
        <w:numPr>
          <w:ilvl w:val="0"/>
          <w:numId w:val="1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obowiązujący od 01 grudnia 2019 r.</w:t>
      </w:r>
    </w:p>
    <w:p w14:paraId="2C807660" w14:textId="77777777" w:rsidR="00631126" w:rsidRDefault="00631126" w:rsidP="00631126">
      <w:pPr>
        <w:numPr>
          <w:ilvl w:val="0"/>
          <w:numId w:val="1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zmieniony w dniach:</w:t>
      </w:r>
    </w:p>
    <w:p w14:paraId="574A1B50" w14:textId="2CC03F24" w:rsidR="00631126" w:rsidRDefault="00631126" w:rsidP="00631126">
      <w:pPr>
        <w:numPr>
          <w:ilvl w:val="0"/>
          <w:numId w:val="2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19 marca 2021 r.</w:t>
      </w:r>
    </w:p>
    <w:p w14:paraId="7D648950" w14:textId="08A530D7" w:rsidR="00631126" w:rsidRPr="00245AC3" w:rsidRDefault="00631126" w:rsidP="00245AC3">
      <w:pPr>
        <w:numPr>
          <w:ilvl w:val="0"/>
          <w:numId w:val="2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bookmarkStart w:id="0" w:name="_Hlk194409492"/>
      <w:r w:rsidRPr="00245AC3">
        <w:rPr>
          <w:rFonts w:eastAsia="Times New Roman" w:cstheme="minorHAnsi"/>
          <w:b/>
          <w:sz w:val="24"/>
          <w:szCs w:val="24"/>
          <w:lang w:eastAsia="pl-PL"/>
        </w:rPr>
        <w:t>1 maja 2022 r.</w:t>
      </w:r>
      <w:r w:rsidRPr="00245AC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245AC3">
        <w:rPr>
          <w:rFonts w:eastAsia="Times New Roman" w:cstheme="minorHAnsi"/>
          <w:sz w:val="24"/>
          <w:szCs w:val="24"/>
          <w:lang w:eastAsia="pl-PL"/>
        </w:rPr>
        <w:t xml:space="preserve">- </w:t>
      </w:r>
      <w:r w:rsidRPr="00245AC3">
        <w:rPr>
          <w:rFonts w:eastAsia="Times New Roman" w:cstheme="minorHAnsi"/>
          <w:sz w:val="24"/>
          <w:szCs w:val="24"/>
          <w:lang w:eastAsia="pl-PL"/>
        </w:rPr>
        <w:t>na pod</w:t>
      </w:r>
      <w:r w:rsidR="00245AC3">
        <w:rPr>
          <w:rFonts w:eastAsia="Times New Roman" w:cstheme="minorHAnsi"/>
          <w:sz w:val="24"/>
          <w:szCs w:val="24"/>
          <w:lang w:eastAsia="pl-PL"/>
        </w:rPr>
        <w:t>st.</w:t>
      </w:r>
      <w:r w:rsidRPr="00245AC3">
        <w:rPr>
          <w:rFonts w:eastAsia="Times New Roman" w:cstheme="minorHAnsi"/>
          <w:sz w:val="24"/>
          <w:szCs w:val="24"/>
          <w:lang w:eastAsia="pl-PL"/>
        </w:rPr>
        <w:t xml:space="preserve"> art. 15 </w:t>
      </w:r>
      <w:proofErr w:type="spellStart"/>
      <w:r w:rsidRPr="00245AC3">
        <w:rPr>
          <w:rFonts w:eastAsia="Times New Roman" w:cstheme="minorHAnsi"/>
          <w:sz w:val="24"/>
          <w:szCs w:val="24"/>
          <w:lang w:eastAsia="pl-PL"/>
        </w:rPr>
        <w:t>zzs</w:t>
      </w:r>
      <w:r w:rsidRPr="00245AC3">
        <w:rPr>
          <w:rFonts w:eastAsia="Times New Roman" w:cstheme="minorHAnsi"/>
          <w:sz w:val="24"/>
          <w:szCs w:val="24"/>
          <w:vertAlign w:val="superscript"/>
          <w:lang w:eastAsia="pl-PL"/>
        </w:rPr>
        <w:t>5</w:t>
      </w:r>
      <w:proofErr w:type="spellEnd"/>
      <w:r w:rsidRPr="00245AC3">
        <w:rPr>
          <w:rFonts w:eastAsia="Times New Roman" w:cstheme="minorHAnsi"/>
          <w:sz w:val="24"/>
          <w:szCs w:val="24"/>
          <w:lang w:eastAsia="pl-PL"/>
        </w:rPr>
        <w:t xml:space="preserve"> ustawy z dnia 2 marca 2020 r. o szczególnych rozwiązaniach związanych z zapobieganiem, przeciwdziałaniem i zwalczaniem COVID-19, innych chorób zakaźnych oraz wywołanych nimi sytuacji kryzysowych (</w:t>
      </w:r>
      <w:proofErr w:type="spellStart"/>
      <w:r w:rsidRPr="00245AC3">
        <w:rPr>
          <w:rFonts w:eastAsia="Times New Roman" w:cstheme="minorHAnsi"/>
          <w:sz w:val="24"/>
          <w:szCs w:val="24"/>
          <w:lang w:eastAsia="pl-PL"/>
        </w:rPr>
        <w:t>t.j.Dz.U.2021.2095</w:t>
      </w:r>
      <w:proofErr w:type="spellEnd"/>
      <w:r w:rsidRPr="00245AC3">
        <w:rPr>
          <w:rFonts w:eastAsia="Times New Roman" w:cstheme="minorHAnsi"/>
          <w:sz w:val="24"/>
          <w:szCs w:val="24"/>
          <w:lang w:eastAsia="pl-PL"/>
        </w:rPr>
        <w:t xml:space="preserve"> ze zm.)</w:t>
      </w:r>
    </w:p>
    <w:bookmarkEnd w:id="0"/>
    <w:p w14:paraId="5106AF1E" w14:textId="7BBCCEAB" w:rsidR="00631126" w:rsidRPr="00245AC3" w:rsidRDefault="00631126" w:rsidP="00631126">
      <w:pPr>
        <w:pStyle w:val="Akapitzlist"/>
        <w:numPr>
          <w:ilvl w:val="1"/>
          <w:numId w:val="6"/>
        </w:num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245AC3">
        <w:rPr>
          <w:rFonts w:eastAsia="Times New Roman" w:cstheme="minorHAnsi"/>
          <w:b/>
          <w:sz w:val="24"/>
          <w:szCs w:val="24"/>
          <w:lang w:eastAsia="pl-PL"/>
        </w:rPr>
        <w:t xml:space="preserve">01 kwietnia 2025 r. </w:t>
      </w:r>
    </w:p>
    <w:p w14:paraId="0878F0B0" w14:textId="77777777" w:rsidR="00631126" w:rsidRDefault="00631126" w:rsidP="00631126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I. Przydział sędziów, asesorów sądowych i referendarzy sądowych do wydziałów sądu, zakres ich obowiązków i sposób uczestniczenia w przydziale spraw i zadań sądu:</w:t>
      </w:r>
    </w:p>
    <w:p w14:paraId="22B63ACC" w14:textId="77777777" w:rsidR="00631126" w:rsidRDefault="00631126" w:rsidP="00631126">
      <w:pPr>
        <w:spacing w:after="36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Lp. Wydział, </w:t>
      </w:r>
      <w:r>
        <w:rPr>
          <w:rFonts w:cstheme="minorHAnsi"/>
          <w:b/>
          <w:sz w:val="24"/>
          <w:szCs w:val="24"/>
        </w:rPr>
        <w:t>I Wydział Cywilny</w:t>
      </w:r>
    </w:p>
    <w:p w14:paraId="43FA7A0D" w14:textId="77294E33" w:rsidR="00631126" w:rsidRDefault="00631126" w:rsidP="00631126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Imię (imiona) 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Krzysztof ; </w:t>
      </w:r>
      <w:r>
        <w:rPr>
          <w:rFonts w:eastAsia="Times New Roman" w:cstheme="minorHAnsi"/>
          <w:sz w:val="24"/>
          <w:szCs w:val="24"/>
          <w:lang w:eastAsia="pl-PL"/>
        </w:rPr>
        <w:t xml:space="preserve">Nazwisko </w:t>
      </w:r>
      <w:r>
        <w:rPr>
          <w:rFonts w:eastAsia="Times New Roman" w:cstheme="minorHAnsi"/>
          <w:b/>
          <w:sz w:val="24"/>
          <w:szCs w:val="24"/>
          <w:lang w:eastAsia="pl-PL"/>
        </w:rPr>
        <w:t>Adamiak</w:t>
      </w:r>
      <w:r>
        <w:rPr>
          <w:rFonts w:eastAsia="Times New Roman" w:cstheme="minorHAnsi"/>
          <w:sz w:val="24"/>
          <w:szCs w:val="24"/>
          <w:lang w:eastAsia="pl-PL"/>
        </w:rPr>
        <w:t xml:space="preserve"> Podstawowy wskaźnik przydziału </w:t>
      </w:r>
      <w:r>
        <w:rPr>
          <w:rFonts w:eastAsia="Times New Roman" w:cstheme="minorHAnsi"/>
          <w:b/>
          <w:sz w:val="24"/>
          <w:szCs w:val="24"/>
          <w:lang w:eastAsia="pl-PL"/>
        </w:rPr>
        <w:t>100%</w:t>
      </w:r>
    </w:p>
    <w:p w14:paraId="7B292BAC" w14:textId="77777777" w:rsidR="00631126" w:rsidRDefault="00631126" w:rsidP="00631126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Uzasadnienie podstawowego wskaźnika przydziału niższego niż 100%;</w:t>
      </w:r>
    </w:p>
    <w:p w14:paraId="757D5559" w14:textId="77777777" w:rsidR="00631126" w:rsidRDefault="00631126" w:rsidP="00631126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Wskaźniki przydziału inne niż podstawowy: </w:t>
      </w:r>
      <w:r>
        <w:rPr>
          <w:rFonts w:eastAsia="Times New Roman" w:cstheme="minorHAnsi"/>
          <w:b/>
          <w:sz w:val="24"/>
          <w:szCs w:val="24"/>
          <w:lang w:eastAsia="pl-PL"/>
        </w:rPr>
        <w:t>Wszystkie kategorie spraw</w:t>
      </w:r>
      <w:r>
        <w:rPr>
          <w:rFonts w:eastAsia="Times New Roman" w:cstheme="minorHAnsi"/>
          <w:sz w:val="24"/>
          <w:szCs w:val="24"/>
          <w:lang w:eastAsia="pl-PL"/>
        </w:rPr>
        <w:t>;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Wysokość wskaźnika </w:t>
      </w:r>
      <w:r>
        <w:rPr>
          <w:rFonts w:eastAsia="Times New Roman" w:cstheme="minorHAnsi"/>
          <w:b/>
          <w:sz w:val="24"/>
          <w:szCs w:val="24"/>
          <w:lang w:eastAsia="pl-PL"/>
        </w:rPr>
        <w:t>100%</w:t>
      </w:r>
    </w:p>
    <w:p w14:paraId="64403EE0" w14:textId="0497AA49" w:rsidR="00631126" w:rsidRDefault="00631126" w:rsidP="00631126">
      <w:pPr>
        <w:spacing w:line="276" w:lineRule="auto"/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Stanowisko służbowe </w:t>
      </w:r>
      <w:r>
        <w:rPr>
          <w:rFonts w:cstheme="minorHAnsi"/>
          <w:b/>
          <w:sz w:val="24"/>
          <w:szCs w:val="24"/>
        </w:rPr>
        <w:t>sędzia Sądu Apelacyjnego w Białymstoku;</w:t>
      </w:r>
    </w:p>
    <w:p w14:paraId="0FB907D8" w14:textId="250D84DB" w:rsidR="00631126" w:rsidRDefault="00631126" w:rsidP="00631126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Pełnione funkcje</w:t>
      </w:r>
      <w:r w:rsidR="00245AC3">
        <w:rPr>
          <w:rFonts w:cstheme="minorHAnsi"/>
          <w:sz w:val="24"/>
          <w:szCs w:val="24"/>
        </w:rPr>
        <w:t xml:space="preserve"> </w:t>
      </w:r>
      <w:r w:rsidR="00245AC3" w:rsidRPr="00245AC3">
        <w:rPr>
          <w:rFonts w:cstheme="minorHAnsi"/>
          <w:b/>
          <w:sz w:val="24"/>
          <w:szCs w:val="24"/>
        </w:rPr>
        <w:t>pełnomocnik ds. wdrożeń systemów informatycznych</w:t>
      </w:r>
      <w:r w:rsidRPr="00245AC3">
        <w:rPr>
          <w:rFonts w:cstheme="minorHAnsi"/>
          <w:b/>
          <w:sz w:val="24"/>
          <w:szCs w:val="24"/>
        </w:rPr>
        <w:t>;</w:t>
      </w:r>
      <w:r>
        <w:rPr>
          <w:rFonts w:cstheme="minorHAnsi"/>
          <w:sz w:val="24"/>
          <w:szCs w:val="24"/>
        </w:rPr>
        <w:t xml:space="preserve"> Inne indywidualne reguły przydziału; Obowiązki niezwiązane z przydziałem;</w:t>
      </w:r>
    </w:p>
    <w:p w14:paraId="486EB599" w14:textId="77777777" w:rsidR="00631126" w:rsidRDefault="00631126" w:rsidP="00631126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Inne ogólne reguły przydziału spraw i zadań sądu;</w:t>
      </w:r>
    </w:p>
    <w:p w14:paraId="5A397709" w14:textId="77777777" w:rsidR="00631126" w:rsidRDefault="00631126" w:rsidP="00631126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Informacje dodatkowe</w:t>
      </w:r>
    </w:p>
    <w:p w14:paraId="699886E8" w14:textId="77777777" w:rsidR="00631126" w:rsidRDefault="00631126" w:rsidP="00631126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>
        <w:rPr>
          <w:rFonts w:cstheme="minorHAnsi"/>
          <w:b/>
          <w:sz w:val="24"/>
          <w:szCs w:val="24"/>
        </w:rPr>
        <w:t xml:space="preserve">II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Plan dyżurów oraz zastępstw sędziów, asesorów sądowych i referendarzy sądowych:</w:t>
      </w:r>
    </w:p>
    <w:p w14:paraId="1B7C6F0A" w14:textId="5D6C8680" w:rsidR="00631126" w:rsidRDefault="00631126" w:rsidP="00631126">
      <w:pPr>
        <w:spacing w:after="0" w:line="276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Lp. 1</w:t>
      </w:r>
      <w:r>
        <w:rPr>
          <w:rFonts w:cstheme="minorHAnsi"/>
          <w:b/>
          <w:sz w:val="24"/>
          <w:szCs w:val="24"/>
        </w:rPr>
        <w:t xml:space="preserve">; </w:t>
      </w:r>
      <w:r>
        <w:rPr>
          <w:rFonts w:cstheme="minorHAnsi"/>
          <w:sz w:val="24"/>
          <w:szCs w:val="24"/>
        </w:rPr>
        <w:t>Rodzaj spraw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Wszystkie kategorie spraw wpływające do I Wydziału Cywilnego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; Liczba dyżurnych i pełniących zastępstwa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10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; Wydział i/lub sędziowie, asesorzy sądowi i referendarze sądowi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I Wydział Cywilny</w:t>
      </w:r>
    </w:p>
    <w:p w14:paraId="5DDD6B70" w14:textId="77777777" w:rsidR="00221247" w:rsidRDefault="00221247">
      <w:bookmarkStart w:id="1" w:name="_GoBack"/>
      <w:bookmarkEnd w:id="1"/>
    </w:p>
    <w:sectPr w:rsidR="00221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72E7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4E11D13"/>
    <w:multiLevelType w:val="hybridMultilevel"/>
    <w:tmpl w:val="64B87FE8"/>
    <w:lvl w:ilvl="0" w:tplc="A7B8AFD0">
      <w:start w:val="1"/>
      <w:numFmt w:val="lowerLetter"/>
      <w:lvlText w:val="%1)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>
      <w:start w:val="1"/>
      <w:numFmt w:val="lowerRoman"/>
      <w:lvlText w:val="%3."/>
      <w:lvlJc w:val="right"/>
      <w:pPr>
        <w:ind w:left="3225" w:hanging="180"/>
      </w:pPr>
    </w:lvl>
    <w:lvl w:ilvl="3" w:tplc="0415000F">
      <w:start w:val="1"/>
      <w:numFmt w:val="decimal"/>
      <w:lvlText w:val="%4."/>
      <w:lvlJc w:val="left"/>
      <w:pPr>
        <w:ind w:left="3945" w:hanging="360"/>
      </w:pPr>
    </w:lvl>
    <w:lvl w:ilvl="4" w:tplc="04150019">
      <w:start w:val="1"/>
      <w:numFmt w:val="lowerLetter"/>
      <w:lvlText w:val="%5."/>
      <w:lvlJc w:val="left"/>
      <w:pPr>
        <w:ind w:left="4665" w:hanging="360"/>
      </w:pPr>
    </w:lvl>
    <w:lvl w:ilvl="5" w:tplc="0415001B">
      <w:start w:val="1"/>
      <w:numFmt w:val="lowerRoman"/>
      <w:lvlText w:val="%6."/>
      <w:lvlJc w:val="right"/>
      <w:pPr>
        <w:ind w:left="5385" w:hanging="180"/>
      </w:pPr>
    </w:lvl>
    <w:lvl w:ilvl="6" w:tplc="0415000F">
      <w:start w:val="1"/>
      <w:numFmt w:val="decimal"/>
      <w:lvlText w:val="%7."/>
      <w:lvlJc w:val="left"/>
      <w:pPr>
        <w:ind w:left="6105" w:hanging="360"/>
      </w:pPr>
    </w:lvl>
    <w:lvl w:ilvl="7" w:tplc="04150019">
      <w:start w:val="1"/>
      <w:numFmt w:val="lowerLetter"/>
      <w:lvlText w:val="%8."/>
      <w:lvlJc w:val="left"/>
      <w:pPr>
        <w:ind w:left="6825" w:hanging="360"/>
      </w:pPr>
    </w:lvl>
    <w:lvl w:ilvl="8" w:tplc="0415001B">
      <w:start w:val="1"/>
      <w:numFmt w:val="lowerRoman"/>
      <w:lvlText w:val="%9."/>
      <w:lvlJc w:val="right"/>
      <w:pPr>
        <w:ind w:left="7545" w:hanging="180"/>
      </w:pPr>
    </w:lvl>
  </w:abstractNum>
  <w:abstractNum w:abstractNumId="2" w15:restartNumberingAfterBreak="0">
    <w:nsid w:val="524C0526"/>
    <w:multiLevelType w:val="hybridMultilevel"/>
    <w:tmpl w:val="57F6F690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>
      <w:start w:val="1"/>
      <w:numFmt w:val="lowerLetter"/>
      <w:lvlText w:val="%2."/>
      <w:lvlJc w:val="left"/>
      <w:pPr>
        <w:ind w:left="2145" w:hanging="360"/>
      </w:pPr>
    </w:lvl>
    <w:lvl w:ilvl="2" w:tplc="0415001B">
      <w:start w:val="1"/>
      <w:numFmt w:val="lowerRoman"/>
      <w:lvlText w:val="%3."/>
      <w:lvlJc w:val="right"/>
      <w:pPr>
        <w:ind w:left="2865" w:hanging="180"/>
      </w:pPr>
    </w:lvl>
    <w:lvl w:ilvl="3" w:tplc="0415000F">
      <w:start w:val="1"/>
      <w:numFmt w:val="decimal"/>
      <w:lvlText w:val="%4."/>
      <w:lvlJc w:val="left"/>
      <w:pPr>
        <w:ind w:left="3585" w:hanging="360"/>
      </w:pPr>
    </w:lvl>
    <w:lvl w:ilvl="4" w:tplc="04150019">
      <w:start w:val="1"/>
      <w:numFmt w:val="lowerLetter"/>
      <w:lvlText w:val="%5."/>
      <w:lvlJc w:val="left"/>
      <w:pPr>
        <w:ind w:left="4305" w:hanging="360"/>
      </w:pPr>
    </w:lvl>
    <w:lvl w:ilvl="5" w:tplc="0415001B">
      <w:start w:val="1"/>
      <w:numFmt w:val="lowerRoman"/>
      <w:lvlText w:val="%6."/>
      <w:lvlJc w:val="right"/>
      <w:pPr>
        <w:ind w:left="5025" w:hanging="180"/>
      </w:pPr>
    </w:lvl>
    <w:lvl w:ilvl="6" w:tplc="0415000F">
      <w:start w:val="1"/>
      <w:numFmt w:val="decimal"/>
      <w:lvlText w:val="%7."/>
      <w:lvlJc w:val="left"/>
      <w:pPr>
        <w:ind w:left="5745" w:hanging="360"/>
      </w:pPr>
    </w:lvl>
    <w:lvl w:ilvl="7" w:tplc="04150019">
      <w:start w:val="1"/>
      <w:numFmt w:val="lowerLetter"/>
      <w:lvlText w:val="%8."/>
      <w:lvlJc w:val="left"/>
      <w:pPr>
        <w:ind w:left="6465" w:hanging="360"/>
      </w:pPr>
    </w:lvl>
    <w:lvl w:ilvl="8" w:tplc="0415001B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54FE65A2"/>
    <w:multiLevelType w:val="multilevel"/>
    <w:tmpl w:val="B316CFF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3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D8B"/>
    <w:rsid w:val="00221247"/>
    <w:rsid w:val="00245AC3"/>
    <w:rsid w:val="00631126"/>
    <w:rsid w:val="006F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095A1"/>
  <w15:chartTrackingRefBased/>
  <w15:docId w15:val="{C66A786F-2A48-4504-A9CF-32F9DF66C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31126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1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45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209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Pavtel Katarzyna</dc:creator>
  <cp:keywords/>
  <dc:description/>
  <cp:lastModifiedBy>Pavtel Katarzyna</cp:lastModifiedBy>
  <cp:revision>3</cp:revision>
  <dcterms:created xsi:type="dcterms:W3CDTF">2025-04-01T12:14:00Z</dcterms:created>
  <dcterms:modified xsi:type="dcterms:W3CDTF">2025-04-02T06:39:00Z</dcterms:modified>
</cp:coreProperties>
</file>