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DE293" w14:textId="77777777" w:rsidR="001D0328" w:rsidRDefault="001D0328" w:rsidP="001D0328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Informacja o podziale czynności oraz sposobie uczestniczenia</w:t>
      </w:r>
    </w:p>
    <w:p w14:paraId="7149EAFB" w14:textId="77777777" w:rsidR="001D0328" w:rsidRDefault="001D0328" w:rsidP="001D0328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w przydziale spraw w Sądzie Apelacyjnym w Białymstoku </w:t>
      </w:r>
    </w:p>
    <w:p w14:paraId="3BC88742" w14:textId="0911E5CE" w:rsidR="001D0328" w:rsidRDefault="001D0328" w:rsidP="001D0328">
      <w:pPr>
        <w:numPr>
          <w:ilvl w:val="0"/>
          <w:numId w:val="1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obowiązujący od 1 grudnia 2019 r.</w:t>
      </w:r>
    </w:p>
    <w:p w14:paraId="16F9D45B" w14:textId="77777777" w:rsidR="001D0328" w:rsidRDefault="001D0328" w:rsidP="001D0328">
      <w:pPr>
        <w:numPr>
          <w:ilvl w:val="0"/>
          <w:numId w:val="1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zmieniony w dniach:</w:t>
      </w:r>
    </w:p>
    <w:p w14:paraId="095477AF" w14:textId="1BF86CED" w:rsidR="001D0328" w:rsidRDefault="001D0328" w:rsidP="001D0328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1 </w:t>
      </w:r>
      <w:r>
        <w:rPr>
          <w:rFonts w:eastAsia="Times New Roman" w:cstheme="minorHAnsi"/>
          <w:b/>
          <w:sz w:val="24"/>
          <w:szCs w:val="24"/>
          <w:lang w:eastAsia="pl-PL"/>
        </w:rPr>
        <w:t>kwietnia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202</w:t>
      </w:r>
      <w:r>
        <w:rPr>
          <w:rFonts w:eastAsia="Times New Roman" w:cstheme="minorHAnsi"/>
          <w:b/>
          <w:sz w:val="24"/>
          <w:szCs w:val="24"/>
          <w:lang w:eastAsia="pl-PL"/>
        </w:rPr>
        <w:t>1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r.</w:t>
      </w:r>
    </w:p>
    <w:p w14:paraId="13AEA0EC" w14:textId="77777777" w:rsidR="001D0328" w:rsidRDefault="001D0328" w:rsidP="001D0328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15</w:t>
      </w:r>
      <w:r w:rsidRPr="00F13CBB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pl-PL"/>
        </w:rPr>
        <w:t>maja</w:t>
      </w:r>
      <w:r w:rsidRPr="00F13CBB">
        <w:rPr>
          <w:rFonts w:eastAsia="Times New Roman" w:cstheme="minorHAnsi"/>
          <w:b/>
          <w:sz w:val="24"/>
          <w:szCs w:val="24"/>
          <w:lang w:eastAsia="pl-PL"/>
        </w:rPr>
        <w:t xml:space="preserve"> 202</w:t>
      </w:r>
      <w:r>
        <w:rPr>
          <w:rFonts w:eastAsia="Times New Roman" w:cstheme="minorHAnsi"/>
          <w:b/>
          <w:sz w:val="24"/>
          <w:szCs w:val="24"/>
          <w:lang w:eastAsia="pl-PL"/>
        </w:rPr>
        <w:t>4</w:t>
      </w:r>
      <w:r w:rsidRPr="00F13CBB">
        <w:rPr>
          <w:rFonts w:eastAsia="Times New Roman" w:cstheme="minorHAnsi"/>
          <w:b/>
          <w:sz w:val="24"/>
          <w:szCs w:val="24"/>
          <w:lang w:eastAsia="pl-PL"/>
        </w:rPr>
        <w:t xml:space="preserve"> r.</w:t>
      </w:r>
    </w:p>
    <w:p w14:paraId="08803923" w14:textId="139502CF" w:rsidR="001D0328" w:rsidRPr="00F13CBB" w:rsidRDefault="001D0328" w:rsidP="001D0328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01 kwietnia 2025 r. </w:t>
      </w:r>
      <w:r w:rsidRPr="00F13CBB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3A1CAEE9" w14:textId="77777777" w:rsidR="001D0328" w:rsidRDefault="001D0328" w:rsidP="001D0328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I. Przydział sędziów, asesorów sądowych i referendarzy sądowych do wydziałów sądu, zakres ich obowiązków i sposób uczestniczenia w przydziale spraw i zadań sądu:</w:t>
      </w:r>
    </w:p>
    <w:p w14:paraId="796EE726" w14:textId="05773BE6" w:rsidR="001D0328" w:rsidRDefault="001D0328" w:rsidP="001D0328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Lp. Wydział, </w:t>
      </w:r>
      <w:r>
        <w:rPr>
          <w:rFonts w:cstheme="minorHAnsi"/>
          <w:b/>
          <w:sz w:val="24"/>
          <w:szCs w:val="24"/>
        </w:rPr>
        <w:t>II</w:t>
      </w:r>
      <w:r>
        <w:rPr>
          <w:rFonts w:cstheme="minorHAnsi"/>
          <w:b/>
          <w:sz w:val="24"/>
          <w:szCs w:val="24"/>
        </w:rPr>
        <w:t>I</w:t>
      </w:r>
      <w:r>
        <w:rPr>
          <w:rFonts w:cstheme="minorHAnsi"/>
          <w:b/>
          <w:sz w:val="24"/>
          <w:szCs w:val="24"/>
        </w:rPr>
        <w:t xml:space="preserve"> Wydział </w:t>
      </w:r>
      <w:r>
        <w:rPr>
          <w:rFonts w:cstheme="minorHAnsi"/>
          <w:b/>
          <w:sz w:val="24"/>
          <w:szCs w:val="24"/>
        </w:rPr>
        <w:t>Pracy i Ubezpieczeń Społecznych</w:t>
      </w:r>
    </w:p>
    <w:p w14:paraId="2EA69A16" w14:textId="03A2457E" w:rsidR="001D0328" w:rsidRDefault="001D0328" w:rsidP="001D0328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Imię (imiona) </w:t>
      </w:r>
      <w:r>
        <w:rPr>
          <w:rFonts w:eastAsia="Times New Roman" w:cstheme="minorHAnsi"/>
          <w:b/>
          <w:sz w:val="24"/>
          <w:szCs w:val="24"/>
          <w:lang w:eastAsia="pl-PL"/>
        </w:rPr>
        <w:t>Marek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Nazwisko </w:t>
      </w:r>
      <w:r>
        <w:rPr>
          <w:rFonts w:eastAsia="Times New Roman" w:cstheme="minorHAnsi"/>
          <w:b/>
          <w:sz w:val="24"/>
          <w:szCs w:val="24"/>
          <w:lang w:eastAsia="pl-PL"/>
        </w:rPr>
        <w:t>S</w:t>
      </w:r>
      <w:r>
        <w:rPr>
          <w:rFonts w:eastAsia="Times New Roman" w:cstheme="minorHAnsi"/>
          <w:b/>
          <w:sz w:val="24"/>
          <w:szCs w:val="24"/>
          <w:lang w:eastAsia="pl-PL"/>
        </w:rPr>
        <w:t>zymanowski</w:t>
      </w:r>
      <w:r>
        <w:rPr>
          <w:rFonts w:eastAsia="Times New Roman" w:cstheme="minorHAnsi"/>
          <w:sz w:val="24"/>
          <w:szCs w:val="24"/>
          <w:lang w:eastAsia="pl-PL"/>
        </w:rPr>
        <w:t xml:space="preserve"> Podstawowy wskaźnik przydziału </w:t>
      </w:r>
      <w:r>
        <w:rPr>
          <w:rFonts w:eastAsia="Times New Roman" w:cstheme="minorHAnsi"/>
          <w:b/>
          <w:sz w:val="24"/>
          <w:szCs w:val="24"/>
          <w:lang w:eastAsia="pl-PL"/>
        </w:rPr>
        <w:t>3</w:t>
      </w:r>
      <w:r>
        <w:rPr>
          <w:rFonts w:eastAsia="Times New Roman" w:cstheme="minorHAnsi"/>
          <w:b/>
          <w:sz w:val="24"/>
          <w:szCs w:val="24"/>
          <w:lang w:eastAsia="pl-PL"/>
        </w:rPr>
        <w:t>0%</w:t>
      </w:r>
    </w:p>
    <w:p w14:paraId="48720C71" w14:textId="4522B720" w:rsidR="001D0328" w:rsidRPr="00F13CBB" w:rsidRDefault="001D0328" w:rsidP="001D0328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Uzasadnienie podstawowego wskaźnika przydziału niższego niż 100% </w:t>
      </w:r>
      <w:r w:rsidRPr="00F13CBB">
        <w:rPr>
          <w:rFonts w:cstheme="minorHAnsi"/>
          <w:b/>
          <w:sz w:val="24"/>
          <w:szCs w:val="24"/>
        </w:rPr>
        <w:t xml:space="preserve">§§ 68 ust. 1 pkt </w:t>
      </w:r>
      <w:proofErr w:type="spellStart"/>
      <w:r w:rsidRPr="00F13CBB">
        <w:rPr>
          <w:rFonts w:cstheme="minorHAnsi"/>
          <w:b/>
          <w:sz w:val="24"/>
          <w:szCs w:val="24"/>
        </w:rPr>
        <w:t>2</w:t>
      </w:r>
      <w:r>
        <w:rPr>
          <w:rFonts w:cstheme="minorHAnsi"/>
          <w:b/>
          <w:sz w:val="24"/>
          <w:szCs w:val="24"/>
        </w:rPr>
        <w:t>f</w:t>
      </w:r>
      <w:proofErr w:type="spellEnd"/>
      <w:r w:rsidRPr="00F13CBB">
        <w:rPr>
          <w:rFonts w:cstheme="minorHAnsi"/>
          <w:b/>
          <w:sz w:val="24"/>
          <w:szCs w:val="24"/>
        </w:rPr>
        <w:t xml:space="preserve"> regulaminu urzędowania sądów powszechnych</w:t>
      </w:r>
    </w:p>
    <w:p w14:paraId="5A542BB5" w14:textId="1892DD91" w:rsidR="001D0328" w:rsidRDefault="001D0328" w:rsidP="001D0328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Wskaźniki przydziału inne niż podstawowy: </w:t>
      </w:r>
      <w:r>
        <w:rPr>
          <w:rFonts w:eastAsia="Times New Roman" w:cstheme="minorHAnsi"/>
          <w:b/>
          <w:sz w:val="24"/>
          <w:szCs w:val="24"/>
          <w:lang w:eastAsia="pl-PL"/>
        </w:rPr>
        <w:t>Wszystkie kategorie spraw</w:t>
      </w:r>
      <w:r>
        <w:rPr>
          <w:rFonts w:eastAsia="Times New Roman" w:cstheme="minorHAnsi"/>
          <w:sz w:val="24"/>
          <w:szCs w:val="24"/>
          <w:lang w:eastAsia="pl-PL"/>
        </w:rPr>
        <w:t>;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Wysokość wskaźnika </w:t>
      </w:r>
      <w:r>
        <w:rPr>
          <w:rFonts w:eastAsia="Times New Roman" w:cstheme="minorHAnsi"/>
          <w:b/>
          <w:sz w:val="24"/>
          <w:szCs w:val="24"/>
          <w:lang w:eastAsia="pl-PL"/>
        </w:rPr>
        <w:t>3</w:t>
      </w:r>
      <w:r>
        <w:rPr>
          <w:rFonts w:eastAsia="Times New Roman" w:cstheme="minorHAnsi"/>
          <w:b/>
          <w:sz w:val="24"/>
          <w:szCs w:val="24"/>
          <w:lang w:eastAsia="pl-PL"/>
        </w:rPr>
        <w:t>0%</w:t>
      </w:r>
    </w:p>
    <w:p w14:paraId="6A1DA4BB" w14:textId="77777777" w:rsidR="001D0328" w:rsidRDefault="001D0328" w:rsidP="001D0328">
      <w:pPr>
        <w:spacing w:line="276" w:lineRule="auto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Stanowisko służbowe </w:t>
      </w:r>
      <w:r>
        <w:rPr>
          <w:rFonts w:cstheme="minorHAnsi"/>
          <w:b/>
          <w:sz w:val="24"/>
          <w:szCs w:val="24"/>
        </w:rPr>
        <w:t>sędzia Sądu Apelacyjnego w Białymstoku;</w:t>
      </w:r>
    </w:p>
    <w:p w14:paraId="0E457BF1" w14:textId="178AA364" w:rsidR="001D0328" w:rsidRDefault="001D0328" w:rsidP="001D0328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Pełnione funkcje </w:t>
      </w:r>
      <w:r>
        <w:rPr>
          <w:rFonts w:cstheme="minorHAnsi"/>
          <w:b/>
          <w:sz w:val="24"/>
          <w:szCs w:val="24"/>
        </w:rPr>
        <w:t>prezes</w:t>
      </w:r>
      <w:r w:rsidRPr="00245AC3">
        <w:rPr>
          <w:rFonts w:cstheme="minorHAnsi"/>
          <w:b/>
          <w:sz w:val="24"/>
          <w:szCs w:val="24"/>
        </w:rPr>
        <w:t>;</w:t>
      </w:r>
      <w:r>
        <w:rPr>
          <w:rFonts w:cstheme="minorHAnsi"/>
          <w:sz w:val="24"/>
          <w:szCs w:val="24"/>
        </w:rPr>
        <w:t xml:space="preserve"> Inne indywidualne reguły przydziału; Obowiązki niezwiązane z przydziałem;</w:t>
      </w:r>
    </w:p>
    <w:p w14:paraId="1AB09682" w14:textId="77777777" w:rsidR="001D0328" w:rsidRDefault="001D0328" w:rsidP="001D0328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Inne ogólne reguły przydziału spraw i zadań sądu;</w:t>
      </w:r>
    </w:p>
    <w:p w14:paraId="038AB76C" w14:textId="77777777" w:rsidR="001D0328" w:rsidRDefault="001D0328" w:rsidP="001D0328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Informacje dodatkowe</w:t>
      </w:r>
    </w:p>
    <w:p w14:paraId="7BAB5491" w14:textId="77777777" w:rsidR="001D0328" w:rsidRDefault="001D0328" w:rsidP="001D0328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cstheme="minorHAnsi"/>
          <w:b/>
          <w:sz w:val="24"/>
          <w:szCs w:val="24"/>
        </w:rPr>
        <w:t xml:space="preserve">II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Plan dyżurów oraz zastępstw sędziów, asesorów sądowych i referendarzy sądowych:</w:t>
      </w:r>
    </w:p>
    <w:p w14:paraId="76D83090" w14:textId="67ECC065" w:rsidR="001D0328" w:rsidRDefault="001D0328" w:rsidP="001D0328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Lp. 1</w:t>
      </w:r>
      <w:r>
        <w:rPr>
          <w:rFonts w:cstheme="minorHAnsi"/>
          <w:b/>
          <w:sz w:val="24"/>
          <w:szCs w:val="24"/>
        </w:rPr>
        <w:t xml:space="preserve">; </w:t>
      </w:r>
      <w:r>
        <w:rPr>
          <w:rFonts w:cstheme="minorHAnsi"/>
          <w:sz w:val="24"/>
          <w:szCs w:val="24"/>
        </w:rPr>
        <w:t>Rodzaj spraw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Wszystkie kategorie spraw wpływające do II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I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Wydziału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Pracy i Ubezpieczeń Społecznych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Liczba dyżurnych i pełniących zastępstwa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4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Wydział i/lub sędziowie, asesorzy sądowi i referendarze sądowi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I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II Wydział Pracy i Ubezpieczeń Społecznych</w:t>
      </w:r>
    </w:p>
    <w:p w14:paraId="5ECC081C" w14:textId="77777777" w:rsidR="001D0328" w:rsidRDefault="001D0328" w:rsidP="001D0328">
      <w:bookmarkStart w:id="0" w:name="_GoBack"/>
      <w:bookmarkEnd w:id="0"/>
    </w:p>
    <w:sectPr w:rsidR="001D0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4BE"/>
    <w:rsid w:val="001D0328"/>
    <w:rsid w:val="00221247"/>
    <w:rsid w:val="008E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4724"/>
  <w15:chartTrackingRefBased/>
  <w15:docId w15:val="{A57B0E99-F1BA-4A23-BFEE-6771F7D1C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D0328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2</cp:revision>
  <dcterms:created xsi:type="dcterms:W3CDTF">2025-04-02T07:21:00Z</dcterms:created>
  <dcterms:modified xsi:type="dcterms:W3CDTF">2025-04-02T07:25:00Z</dcterms:modified>
</cp:coreProperties>
</file>