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A9357" w14:textId="77777777" w:rsidR="00293C9B" w:rsidRPr="00AF41C4" w:rsidRDefault="00293C9B" w:rsidP="00293C9B">
      <w:pPr>
        <w:spacing w:line="24" w:lineRule="atLeast"/>
        <w:rPr>
          <w:rFonts w:asciiTheme="minorHAnsi" w:hAnsiTheme="minorHAnsi" w:cstheme="minorHAnsi"/>
          <w:w w:val="110"/>
          <w:sz w:val="28"/>
        </w:rPr>
      </w:pPr>
      <w:r w:rsidRPr="00AF41C4">
        <w:rPr>
          <w:rFonts w:asciiTheme="minorHAnsi" w:hAnsiTheme="minorHAnsi" w:cstheme="minorHAnsi"/>
          <w:w w:val="110"/>
          <w:sz w:val="28"/>
        </w:rPr>
        <w:t>OPIS PRZEDMIOTU ZAMÓWIENIA</w:t>
      </w:r>
    </w:p>
    <w:p w14:paraId="5F0B2796" w14:textId="77777777" w:rsidR="00293C9B" w:rsidRDefault="00293C9B" w:rsidP="00293C9B">
      <w:pPr>
        <w:autoSpaceDE w:val="0"/>
        <w:autoSpaceDN w:val="0"/>
        <w:adjustRightInd w:val="0"/>
        <w:spacing w:line="24" w:lineRule="atLeast"/>
        <w:rPr>
          <w:rFonts w:eastAsia="Calibri"/>
          <w:b/>
          <w:bCs/>
          <w:color w:val="000000"/>
          <w:szCs w:val="23"/>
          <w:lang w:eastAsia="en-US"/>
        </w:rPr>
      </w:pPr>
    </w:p>
    <w:p w14:paraId="411EA8AB" w14:textId="37C25188" w:rsidR="00293C9B" w:rsidRDefault="00293C9B" w:rsidP="00293C9B">
      <w:pPr>
        <w:autoSpaceDE w:val="0"/>
        <w:autoSpaceDN w:val="0"/>
        <w:adjustRightInd w:val="0"/>
        <w:spacing w:line="24" w:lineRule="atLeast"/>
        <w:rPr>
          <w:rFonts w:eastAsia="Calibri"/>
          <w:b/>
          <w:bCs/>
          <w:color w:val="000000"/>
          <w:szCs w:val="23"/>
          <w:lang w:eastAsia="en-US"/>
        </w:rPr>
      </w:pPr>
      <w:r>
        <w:rPr>
          <w:rFonts w:eastAsia="Calibri"/>
          <w:b/>
          <w:bCs/>
          <w:color w:val="000000"/>
          <w:szCs w:val="23"/>
          <w:lang w:eastAsia="en-US"/>
        </w:rPr>
        <w:t>„</w:t>
      </w:r>
      <w:r>
        <w:rPr>
          <w:rFonts w:eastAsia="Calibri"/>
          <w:b/>
          <w:bCs/>
          <w:color w:val="000000"/>
          <w:szCs w:val="23"/>
          <w:lang w:eastAsia="en-US"/>
        </w:rPr>
        <w:t>Dostawa i instalacja urządzeń brzegu sieci oraz p</w:t>
      </w:r>
      <w:r w:rsidRPr="006C2285">
        <w:rPr>
          <w:rFonts w:eastAsia="Calibri"/>
          <w:b/>
          <w:bCs/>
          <w:color w:val="000000"/>
          <w:szCs w:val="23"/>
          <w:lang w:eastAsia="en-US"/>
        </w:rPr>
        <w:t>rzedłużenie subskrypcji i wsparcia dla posiadanych urządzeń bezpieczeństwa brzegu sieci w sądach apelacji białostockiej</w:t>
      </w:r>
      <w:r>
        <w:rPr>
          <w:rFonts w:eastAsia="Calibri"/>
          <w:b/>
          <w:bCs/>
          <w:color w:val="000000"/>
          <w:szCs w:val="23"/>
          <w:lang w:eastAsia="en-US"/>
        </w:rPr>
        <w:t>”</w:t>
      </w:r>
    </w:p>
    <w:p w14:paraId="6FE33FA7" w14:textId="77777777" w:rsidR="00293C9B" w:rsidRDefault="00293C9B" w:rsidP="00293C9B">
      <w:pPr>
        <w:spacing w:line="24" w:lineRule="atLeast"/>
        <w:ind w:left="720" w:hanging="720"/>
        <w:jc w:val="both"/>
        <w:rPr>
          <w:b/>
          <w:u w:val="single"/>
        </w:rPr>
      </w:pPr>
    </w:p>
    <w:p w14:paraId="3A707D2D" w14:textId="77777777" w:rsidR="00293C9B" w:rsidRDefault="00293C9B" w:rsidP="00293C9B">
      <w:pPr>
        <w:spacing w:line="24" w:lineRule="atLeast"/>
        <w:ind w:left="720" w:hanging="720"/>
        <w:jc w:val="both"/>
        <w:rPr>
          <w:b/>
          <w:u w:val="single"/>
        </w:rPr>
      </w:pPr>
    </w:p>
    <w:p w14:paraId="36BB808B" w14:textId="7C0DD9FB" w:rsidR="002F4F56" w:rsidRDefault="002F4F56" w:rsidP="00293C9B">
      <w:pPr>
        <w:spacing w:line="24" w:lineRule="atLeast"/>
        <w:ind w:left="720" w:hanging="720"/>
        <w:jc w:val="both"/>
        <w:rPr>
          <w:b/>
          <w:u w:val="single"/>
        </w:rPr>
      </w:pPr>
      <w:r w:rsidRPr="001F4C7B">
        <w:rPr>
          <w:b/>
          <w:u w:val="single"/>
        </w:rPr>
        <w:t>CZĘŚĆ 1 ZAMÓWIENIA</w:t>
      </w:r>
    </w:p>
    <w:p w14:paraId="523F286A" w14:textId="77777777" w:rsidR="002F4F56" w:rsidRPr="001F4C7B" w:rsidRDefault="002F4F56" w:rsidP="00293C9B">
      <w:pPr>
        <w:spacing w:line="24" w:lineRule="atLeast"/>
        <w:ind w:left="720" w:hanging="720"/>
        <w:jc w:val="both"/>
        <w:rPr>
          <w:b/>
          <w:u w:val="single"/>
        </w:rPr>
      </w:pPr>
    </w:p>
    <w:p w14:paraId="0743005E" w14:textId="77777777" w:rsidR="002F4F56" w:rsidRPr="00746D81" w:rsidRDefault="002F4F56" w:rsidP="00293C9B">
      <w:pPr>
        <w:spacing w:line="24" w:lineRule="atLeast"/>
        <w:jc w:val="both"/>
        <w:rPr>
          <w:rFonts w:asciiTheme="minorHAnsi" w:hAnsiTheme="minorHAnsi" w:cstheme="minorHAnsi"/>
          <w:b/>
          <w:bCs/>
        </w:rPr>
      </w:pPr>
    </w:p>
    <w:p w14:paraId="3071D923" w14:textId="641629D3" w:rsidR="002F4F56" w:rsidRPr="00293C9B" w:rsidRDefault="002F4F56" w:rsidP="00293C9B">
      <w:pPr>
        <w:pStyle w:val="Akapitzlist"/>
        <w:numPr>
          <w:ilvl w:val="0"/>
          <w:numId w:val="37"/>
        </w:numPr>
        <w:spacing w:after="0" w:line="24" w:lineRule="atLeast"/>
        <w:ind w:left="426" w:hanging="426"/>
        <w:contextualSpacing w:val="0"/>
        <w:jc w:val="both"/>
        <w:rPr>
          <w:rFonts w:asciiTheme="minorHAnsi" w:hAnsiTheme="minorHAnsi" w:cstheme="minorHAnsi"/>
          <w:b/>
          <w:bCs/>
        </w:rPr>
      </w:pPr>
      <w:r w:rsidRPr="00293C9B">
        <w:rPr>
          <w:rFonts w:asciiTheme="minorHAnsi" w:hAnsiTheme="minorHAnsi" w:cstheme="minorHAnsi"/>
          <w:b/>
          <w:bCs/>
        </w:rPr>
        <w:t>PRZEDMIOT ZAMÓWIENIA</w:t>
      </w:r>
    </w:p>
    <w:p w14:paraId="1A569ADE" w14:textId="350A826C"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Przedmiotem zamówienia jest</w:t>
      </w:r>
      <w:r w:rsidR="00293C9B">
        <w:rPr>
          <w:rFonts w:asciiTheme="minorHAnsi" w:hAnsiTheme="minorHAnsi" w:cstheme="minorHAnsi"/>
          <w:sz w:val="22"/>
          <w:szCs w:val="22"/>
        </w:rPr>
        <w:t>:</w:t>
      </w:r>
      <w:r w:rsidRPr="00293C9B">
        <w:rPr>
          <w:rFonts w:asciiTheme="minorHAnsi" w:hAnsiTheme="minorHAnsi" w:cstheme="minorHAnsi"/>
          <w:sz w:val="22"/>
          <w:szCs w:val="22"/>
        </w:rPr>
        <w:t xml:space="preserve"> </w:t>
      </w:r>
    </w:p>
    <w:p w14:paraId="078005B4" w14:textId="77777777" w:rsidR="002F4F56" w:rsidRPr="00293C9B" w:rsidRDefault="002F4F56" w:rsidP="00293C9B">
      <w:pPr>
        <w:spacing w:line="24" w:lineRule="atLeast"/>
        <w:jc w:val="both"/>
        <w:rPr>
          <w:rFonts w:asciiTheme="minorHAnsi" w:hAnsiTheme="minorHAnsi" w:cstheme="minorHAnsi"/>
          <w:sz w:val="22"/>
          <w:szCs w:val="22"/>
        </w:rPr>
      </w:pPr>
    </w:p>
    <w:p w14:paraId="55676FB4" w14:textId="0298D06F" w:rsidR="002F4F56" w:rsidRPr="00293C9B" w:rsidRDefault="002F4F56" w:rsidP="00293C9B">
      <w:pPr>
        <w:pStyle w:val="Akapitzlist"/>
        <w:numPr>
          <w:ilvl w:val="0"/>
          <w:numId w:val="36"/>
        </w:numPr>
        <w:spacing w:after="0" w:line="24" w:lineRule="atLeast"/>
        <w:ind w:left="284"/>
        <w:contextualSpacing w:val="0"/>
        <w:jc w:val="both"/>
        <w:rPr>
          <w:rFonts w:asciiTheme="minorHAnsi" w:eastAsia="Times New Roman" w:hAnsiTheme="minorHAnsi" w:cstheme="minorHAnsi"/>
        </w:rPr>
      </w:pPr>
      <w:r w:rsidRPr="00293C9B">
        <w:rPr>
          <w:rFonts w:asciiTheme="minorHAnsi" w:eastAsia="Times New Roman" w:hAnsiTheme="minorHAnsi" w:cstheme="minorHAnsi"/>
        </w:rPr>
        <w:t xml:space="preserve">dostawa urządzeń do zabezpieczenia ruchu sieciowego w postaci rozwiązań </w:t>
      </w:r>
      <w:proofErr w:type="spellStart"/>
      <w:r w:rsidRPr="00293C9B">
        <w:rPr>
          <w:rFonts w:asciiTheme="minorHAnsi" w:eastAsia="Times New Roman" w:hAnsiTheme="minorHAnsi" w:cstheme="minorHAnsi"/>
        </w:rPr>
        <w:t>Next</w:t>
      </w:r>
      <w:proofErr w:type="spellEnd"/>
      <w:r w:rsidRPr="00293C9B">
        <w:rPr>
          <w:rFonts w:asciiTheme="minorHAnsi" w:eastAsia="Times New Roman" w:hAnsiTheme="minorHAnsi" w:cstheme="minorHAnsi"/>
        </w:rPr>
        <w:t xml:space="preserve"> </w:t>
      </w:r>
      <w:proofErr w:type="spellStart"/>
      <w:r w:rsidRPr="00293C9B">
        <w:rPr>
          <w:rFonts w:asciiTheme="minorHAnsi" w:eastAsia="Times New Roman" w:hAnsiTheme="minorHAnsi" w:cstheme="minorHAnsi"/>
        </w:rPr>
        <w:t>Generation</w:t>
      </w:r>
      <w:proofErr w:type="spellEnd"/>
      <w:r w:rsidRPr="00293C9B">
        <w:rPr>
          <w:rFonts w:asciiTheme="minorHAnsi" w:eastAsia="Times New Roman" w:hAnsiTheme="minorHAnsi" w:cstheme="minorHAnsi"/>
        </w:rPr>
        <w:t xml:space="preserve"> Firewall (NGFW) wraz z ich montażem, konfiguracją i uruchomieniem. </w:t>
      </w:r>
    </w:p>
    <w:p w14:paraId="7C3537C2" w14:textId="29B5301F" w:rsidR="002F4F56" w:rsidRPr="00293C9B" w:rsidRDefault="002F4F56" w:rsidP="00293C9B">
      <w:pPr>
        <w:pStyle w:val="Akapitzlist"/>
        <w:numPr>
          <w:ilvl w:val="0"/>
          <w:numId w:val="36"/>
        </w:numPr>
        <w:pBdr>
          <w:top w:val="nil"/>
          <w:left w:val="nil"/>
          <w:bottom w:val="nil"/>
          <w:right w:val="nil"/>
          <w:between w:val="nil"/>
        </w:pBdr>
        <w:spacing w:after="0" w:line="24" w:lineRule="atLeast"/>
        <w:ind w:left="284"/>
        <w:contextualSpacing w:val="0"/>
        <w:jc w:val="both"/>
        <w:rPr>
          <w:rFonts w:asciiTheme="minorHAnsi" w:eastAsia="Times New Roman" w:hAnsiTheme="minorHAnsi" w:cstheme="minorHAnsi"/>
        </w:rPr>
      </w:pPr>
      <w:r w:rsidRPr="00293C9B">
        <w:rPr>
          <w:rFonts w:asciiTheme="minorHAnsi" w:eastAsia="Times New Roman" w:hAnsiTheme="minorHAnsi" w:cstheme="minorHAnsi"/>
        </w:rPr>
        <w:t>świadczenie przez Wykonawcę, usług serwisu gwarancyjnego, obejmujących usuwanie zgłoszonych awarii i usterek dla sprzętu oraz oprogramowania Zamawiającego, a w razie konieczności jego wymianę;</w:t>
      </w:r>
    </w:p>
    <w:p w14:paraId="20A918D8" w14:textId="77777777" w:rsidR="002F4F56" w:rsidRPr="00293C9B" w:rsidRDefault="002F4F56" w:rsidP="00293C9B">
      <w:pPr>
        <w:pStyle w:val="Akapitzlist"/>
        <w:pBdr>
          <w:top w:val="nil"/>
          <w:left w:val="nil"/>
          <w:bottom w:val="nil"/>
          <w:right w:val="nil"/>
          <w:between w:val="nil"/>
        </w:pBdr>
        <w:spacing w:after="0" w:line="24" w:lineRule="atLeast"/>
        <w:contextualSpacing w:val="0"/>
        <w:jc w:val="both"/>
        <w:rPr>
          <w:rFonts w:asciiTheme="minorHAnsi" w:eastAsia="Times New Roman" w:hAnsiTheme="minorHAnsi" w:cstheme="minorHAnsi"/>
        </w:rPr>
      </w:pPr>
    </w:p>
    <w:p w14:paraId="122AEA9E" w14:textId="77777777" w:rsidR="002F4F56" w:rsidRPr="00293C9B" w:rsidRDefault="002F4F56" w:rsidP="00293C9B">
      <w:pPr>
        <w:pStyle w:val="Akapitzlist"/>
        <w:pBdr>
          <w:top w:val="nil"/>
          <w:left w:val="nil"/>
          <w:bottom w:val="nil"/>
          <w:right w:val="nil"/>
          <w:between w:val="nil"/>
        </w:pBdr>
        <w:spacing w:after="0" w:line="24" w:lineRule="atLeast"/>
        <w:contextualSpacing w:val="0"/>
        <w:jc w:val="both"/>
        <w:rPr>
          <w:rFonts w:asciiTheme="minorHAnsi" w:eastAsia="Times New Roman" w:hAnsiTheme="minorHAnsi" w:cstheme="minorHAnsi"/>
        </w:rPr>
      </w:pPr>
    </w:p>
    <w:p w14:paraId="13776234"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NIETECHNICZNE CECHY URZĄDZEŃ</w:t>
      </w:r>
    </w:p>
    <w:p w14:paraId="65FF1E35" w14:textId="77777777" w:rsidR="002F4F56" w:rsidRPr="00293C9B" w:rsidRDefault="002F4F56" w:rsidP="00293C9B">
      <w:pPr>
        <w:spacing w:line="24" w:lineRule="atLeast"/>
        <w:jc w:val="both"/>
        <w:rPr>
          <w:rFonts w:asciiTheme="minorHAnsi" w:hAnsiTheme="minorHAnsi" w:cstheme="minorHAnsi"/>
          <w:sz w:val="22"/>
          <w:szCs w:val="22"/>
        </w:rPr>
      </w:pPr>
    </w:p>
    <w:p w14:paraId="0736D5BD"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Przedmiot zamówienia musi być legalny, fabrycznie nowy, nigdy wcześniej nie używany, pochodzący z legalnego kanału dystrybucyjnego, dopuszczony do obrotu, spełniający normy CE. Nie dopuszcza się urządzeń typu </w:t>
      </w:r>
      <w:proofErr w:type="spellStart"/>
      <w:r w:rsidRPr="00293C9B">
        <w:rPr>
          <w:rFonts w:asciiTheme="minorHAnsi" w:hAnsiTheme="minorHAnsi" w:cstheme="minorHAnsi"/>
          <w:sz w:val="22"/>
          <w:szCs w:val="22"/>
        </w:rPr>
        <w:t>refurbished</w:t>
      </w:r>
      <w:proofErr w:type="spellEnd"/>
      <w:r w:rsidRPr="00293C9B">
        <w:rPr>
          <w:rFonts w:asciiTheme="minorHAnsi" w:hAnsiTheme="minorHAnsi" w:cstheme="minorHAnsi"/>
          <w:sz w:val="22"/>
          <w:szCs w:val="22"/>
        </w:rPr>
        <w:t xml:space="preserve"> (zwróconych do producenta i później odsprzedawanych ponownie przez producenta).</w:t>
      </w:r>
    </w:p>
    <w:p w14:paraId="5DB25826"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Zamawiający wymaga, aby wszystkie dostarczane urządzenia i pakiety oprogramowania były sprawdzone w praktyce rynkowej. Oznacza to, iż oprogramowanie systemowe (</w:t>
      </w:r>
      <w:proofErr w:type="spellStart"/>
      <w:r w:rsidRPr="00293C9B">
        <w:rPr>
          <w:rFonts w:asciiTheme="minorHAnsi" w:hAnsiTheme="minorHAnsi" w:cstheme="minorHAnsi"/>
          <w:sz w:val="22"/>
          <w:szCs w:val="22"/>
        </w:rPr>
        <w:t>firmware</w:t>
      </w:r>
      <w:proofErr w:type="spellEnd"/>
      <w:r w:rsidRPr="00293C9B">
        <w:rPr>
          <w:rFonts w:asciiTheme="minorHAnsi" w:hAnsiTheme="minorHAnsi" w:cstheme="minorHAnsi"/>
          <w:sz w:val="22"/>
          <w:szCs w:val="22"/>
        </w:rPr>
        <w:t xml:space="preserve"> urządzeń) realizujące wszystkie wymagane funkcje jak też samo urządzenie musiało być dostępne na rynku co najmniej 6 miesięcy przed terminem składania ofert. </w:t>
      </w:r>
    </w:p>
    <w:p w14:paraId="1DEC9541"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Urządzenie i powiązane z nim oprogramowanie systemowe musi być objęte pełnym serwisem producenta (niedopuszczalne jest proponowanie oprogramowanie np. w wersji Beta) w chwili, i co najmniej w okresie 6 miesięcy przed złożeniem ofert. Za datę jego dostępności Zamawiający przyjmuje publikację konkretnej oferowanej wersji oprogramowania (wersji z pełnym wsparciem) na stronie Producenta rozwiązania</w:t>
      </w:r>
    </w:p>
    <w:p w14:paraId="1826A439"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Zamawiający wymaga, aby zaoferowane urządzenia były dostępne i serwisowane przez Producenta oraz nie będą przez niego przewidziane do wycofania ze sprzedaży i wsparcia (ogłoszone tzw. dokumenty End-of-Sale lub End-of-Life lub równoważne) – na dzień składania oferty.</w:t>
      </w:r>
    </w:p>
    <w:p w14:paraId="1D76EEBC" w14:textId="77777777" w:rsidR="002F4F56" w:rsidRPr="00293C9B" w:rsidRDefault="002F4F56" w:rsidP="00293C9B">
      <w:pPr>
        <w:spacing w:line="24" w:lineRule="atLeast"/>
        <w:jc w:val="both"/>
        <w:rPr>
          <w:rFonts w:asciiTheme="minorHAnsi" w:hAnsiTheme="minorHAnsi" w:cstheme="minorHAnsi"/>
          <w:sz w:val="22"/>
          <w:szCs w:val="22"/>
        </w:rPr>
      </w:pPr>
    </w:p>
    <w:p w14:paraId="76B15578" w14:textId="77777777" w:rsidR="002F4F56" w:rsidRPr="00293C9B" w:rsidRDefault="002F4F56" w:rsidP="00293C9B">
      <w:pPr>
        <w:spacing w:line="24" w:lineRule="atLeast"/>
        <w:rPr>
          <w:rFonts w:asciiTheme="minorHAnsi" w:hAnsiTheme="minorHAnsi" w:cstheme="minorHAnsi"/>
          <w:i/>
          <w:iCs/>
          <w:sz w:val="22"/>
          <w:szCs w:val="22"/>
        </w:rPr>
      </w:pPr>
    </w:p>
    <w:p w14:paraId="0C28DF1F"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DODATKOWE SYSTEMY ZEWNĘTRZNE</w:t>
      </w:r>
    </w:p>
    <w:p w14:paraId="17046BED" w14:textId="77777777" w:rsidR="002F4F56" w:rsidRPr="00293C9B" w:rsidRDefault="002F4F56" w:rsidP="00293C9B">
      <w:pPr>
        <w:spacing w:line="24" w:lineRule="atLeast"/>
        <w:jc w:val="both"/>
        <w:rPr>
          <w:rFonts w:asciiTheme="minorHAnsi" w:hAnsiTheme="minorHAnsi" w:cstheme="minorHAnsi"/>
          <w:i/>
          <w:iCs/>
          <w:sz w:val="22"/>
          <w:szCs w:val="22"/>
        </w:rPr>
      </w:pPr>
    </w:p>
    <w:p w14:paraId="1FAD1766"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Zamawiający dopuszcza, aby całościowy system bezpieczeństwa był zbudowany w oparciu o wymagane komponenty opisane w OPZ wraz z elementami dodatkowymi, których zastosowanie jest opcjonalne i dobrowolne. Decyzja o ich zastosowaniu leży w gestii Wykonawcy – jeżeli uzna on, iż dla osiągnięcia opisanych wymagań niezbędne są dodatkowe systemy zewnętrzne to Zamawiający zezwala na ich zastosowanie pod warunkami opisanymi poniżej:</w:t>
      </w:r>
    </w:p>
    <w:p w14:paraId="4E6775A7"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stosowanie dodatkowych systemów nie może dotyczyć funkcji ochronnych NGFW (np. wykrywania aplikacji, obsługi IPS, AV czy NAT);</w:t>
      </w:r>
    </w:p>
    <w:p w14:paraId="72195A16"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stosowanie dodatkowych systemów nie może powodować ominięcia reguł bezpieczeństwa</w:t>
      </w:r>
    </w:p>
    <w:p w14:paraId="51A1F6B3" w14:textId="77777777" w:rsidR="002F4F56" w:rsidRPr="00293C9B" w:rsidRDefault="002F4F56" w:rsidP="00293C9B">
      <w:pPr>
        <w:spacing w:line="24" w:lineRule="atLeast"/>
        <w:jc w:val="both"/>
        <w:rPr>
          <w:rFonts w:asciiTheme="minorHAnsi" w:hAnsiTheme="minorHAnsi" w:cstheme="minorHAnsi"/>
          <w:sz w:val="22"/>
          <w:szCs w:val="22"/>
        </w:rPr>
      </w:pPr>
    </w:p>
    <w:p w14:paraId="4D8222D8" w14:textId="77777777" w:rsidR="002F4F56" w:rsidRPr="00293C9B" w:rsidRDefault="002F4F56" w:rsidP="00293C9B">
      <w:pPr>
        <w:spacing w:line="24" w:lineRule="atLeast"/>
        <w:jc w:val="both"/>
        <w:rPr>
          <w:rFonts w:asciiTheme="minorHAnsi" w:hAnsiTheme="minorHAnsi" w:cstheme="minorHAnsi"/>
          <w:sz w:val="22"/>
          <w:szCs w:val="22"/>
        </w:rPr>
      </w:pPr>
    </w:p>
    <w:p w14:paraId="147F8EF0"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lastRenderedPageBreak/>
        <w:t>Przykładowo stosowanie dodatkowych systemów jest dopuszczalne, gdy są one konieczne np. dla:</w:t>
      </w:r>
    </w:p>
    <w:p w14:paraId="7C9B5830" w14:textId="77777777" w:rsidR="002F4F56" w:rsidRPr="00293C9B" w:rsidRDefault="002F4F56" w:rsidP="00293C9B">
      <w:pPr>
        <w:numPr>
          <w:ilvl w:val="0"/>
          <w:numId w:val="14"/>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weryfikacji tożsamości użytkowników – system uwierzytelniania;</w:t>
      </w:r>
    </w:p>
    <w:p w14:paraId="6E9322D2"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realizacji funkcji zarządzania firewallem i uprawnieniami administratorów;</w:t>
      </w:r>
    </w:p>
    <w:p w14:paraId="1DABB605"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realizacji funkcji inspekcji ruchu SSL;</w:t>
      </w:r>
    </w:p>
    <w:p w14:paraId="5F72AEAA"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ochrony </w:t>
      </w:r>
      <w:proofErr w:type="spellStart"/>
      <w:r w:rsidRPr="00293C9B">
        <w:rPr>
          <w:rFonts w:asciiTheme="minorHAnsi" w:hAnsiTheme="minorHAnsi" w:cstheme="minorHAnsi"/>
          <w:sz w:val="22"/>
          <w:szCs w:val="22"/>
        </w:rPr>
        <w:t>day</w:t>
      </w:r>
      <w:proofErr w:type="spellEnd"/>
      <w:r w:rsidRPr="00293C9B">
        <w:rPr>
          <w:rFonts w:asciiTheme="minorHAnsi" w:hAnsiTheme="minorHAnsi" w:cstheme="minorHAnsi"/>
          <w:sz w:val="22"/>
          <w:szCs w:val="22"/>
        </w:rPr>
        <w:t>-zero (</w:t>
      </w:r>
      <w:proofErr w:type="spellStart"/>
      <w:r w:rsidRPr="00293C9B">
        <w:rPr>
          <w:rFonts w:asciiTheme="minorHAnsi" w:hAnsiTheme="minorHAnsi" w:cstheme="minorHAnsi"/>
          <w:sz w:val="22"/>
          <w:szCs w:val="22"/>
        </w:rPr>
        <w:t>sandbox</w:t>
      </w:r>
      <w:proofErr w:type="spellEnd"/>
      <w:r w:rsidRPr="00293C9B">
        <w:rPr>
          <w:rFonts w:asciiTheme="minorHAnsi" w:hAnsiTheme="minorHAnsi" w:cstheme="minorHAnsi"/>
          <w:sz w:val="22"/>
          <w:szCs w:val="22"/>
        </w:rPr>
        <w:t>)</w:t>
      </w:r>
    </w:p>
    <w:p w14:paraId="4DA38939"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realizacji zaawansowanych funkcji ochrony wymagających pobierania danych z chmury </w:t>
      </w:r>
      <w:proofErr w:type="spellStart"/>
      <w:r w:rsidRPr="00293C9B">
        <w:rPr>
          <w:rFonts w:asciiTheme="minorHAnsi" w:hAnsiTheme="minorHAnsi" w:cstheme="minorHAnsi"/>
          <w:sz w:val="22"/>
          <w:szCs w:val="22"/>
        </w:rPr>
        <w:t>Threat</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Intelligence</w:t>
      </w:r>
      <w:proofErr w:type="spellEnd"/>
      <w:r w:rsidRPr="00293C9B">
        <w:rPr>
          <w:rFonts w:asciiTheme="minorHAnsi" w:hAnsiTheme="minorHAnsi" w:cstheme="minorHAnsi"/>
          <w:sz w:val="22"/>
          <w:szCs w:val="22"/>
        </w:rPr>
        <w:t xml:space="preserve"> producenta oferowanego rozwiązania.</w:t>
      </w:r>
    </w:p>
    <w:p w14:paraId="15D424E7" w14:textId="77777777" w:rsidR="002F4F56" w:rsidRPr="00293C9B" w:rsidRDefault="002F4F56" w:rsidP="00293C9B">
      <w:pPr>
        <w:spacing w:line="24" w:lineRule="atLeast"/>
        <w:jc w:val="both"/>
        <w:rPr>
          <w:rFonts w:asciiTheme="minorHAnsi" w:hAnsiTheme="minorHAnsi" w:cstheme="minorHAnsi"/>
          <w:sz w:val="22"/>
          <w:szCs w:val="22"/>
        </w:rPr>
      </w:pPr>
    </w:p>
    <w:p w14:paraId="0698798E"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Stosowanie dodatkowych systemów jest możliwe tylko przy założeniu zapewnienia ich wysokiej dostępności. Oznacza to, że należy dostarczyć każdy taki system jako dedykowane rozwiązanie (urządzenie z dedykowanym dla niego oprogramowaniem serwisowane w całości przez jednego producenta); system musi być dostarczony jako klaster niezawodnościowy – tzn. identyczne urządzenia pracujące równolegle w modelu 1+1 lub N+1, wyposażone w redundantne zasilacze z możliwością ich wymiany „na gorąco” (hot-</w:t>
      </w:r>
      <w:proofErr w:type="spellStart"/>
      <w:r w:rsidRPr="00293C9B">
        <w:rPr>
          <w:rFonts w:asciiTheme="minorHAnsi" w:hAnsiTheme="minorHAnsi" w:cstheme="minorHAnsi"/>
          <w:sz w:val="22"/>
          <w:szCs w:val="22"/>
        </w:rPr>
        <w:t>swap</w:t>
      </w:r>
      <w:proofErr w:type="spellEnd"/>
      <w:r w:rsidRPr="00293C9B">
        <w:rPr>
          <w:rFonts w:asciiTheme="minorHAnsi" w:hAnsiTheme="minorHAnsi" w:cstheme="minorHAnsi"/>
          <w:sz w:val="22"/>
          <w:szCs w:val="22"/>
        </w:rPr>
        <w:t>). Dodatkowe systemy muszą zostać zaoferowane w konfiguracji sprzętowej „analogicznej” dla konfiguracji urządzeń NGFW.</w:t>
      </w:r>
    </w:p>
    <w:p w14:paraId="227BE294" w14:textId="77777777" w:rsidR="002F4F56" w:rsidRPr="00293C9B" w:rsidRDefault="002F4F56" w:rsidP="00293C9B">
      <w:pPr>
        <w:spacing w:line="24" w:lineRule="atLeast"/>
        <w:jc w:val="both"/>
        <w:rPr>
          <w:rFonts w:asciiTheme="minorHAnsi" w:hAnsiTheme="minorHAnsi" w:cstheme="minorHAnsi"/>
          <w:sz w:val="22"/>
          <w:szCs w:val="22"/>
        </w:rPr>
      </w:pPr>
    </w:p>
    <w:p w14:paraId="05AFFEC4"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Systemy wspomagające muszą być zaoferowane w pełnym wsparciem producenta co oznacza wymóg zaoferowania wszystkich pakietów serwisowych dostępnych dla danego rozwiązania, w zakresie funkcjonalnym wymaganym przez Zamawiającego.</w:t>
      </w:r>
    </w:p>
    <w:p w14:paraId="4BCD651E" w14:textId="77777777" w:rsidR="002F4F56" w:rsidRPr="00293C9B" w:rsidRDefault="002F4F56" w:rsidP="00293C9B">
      <w:pPr>
        <w:spacing w:line="24" w:lineRule="atLeast"/>
        <w:jc w:val="both"/>
        <w:rPr>
          <w:rFonts w:asciiTheme="minorHAnsi" w:hAnsiTheme="minorHAnsi" w:cstheme="minorHAnsi"/>
          <w:sz w:val="22"/>
          <w:szCs w:val="22"/>
        </w:rPr>
      </w:pPr>
    </w:p>
    <w:p w14:paraId="21AD076B"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W przypadku stosowania systemów wspomagających Zamawiający wymaga by były one oferowane przez tego samego producenta co oferowany system firewall i całościowo serwisowane przez tego producenta.</w:t>
      </w:r>
    </w:p>
    <w:p w14:paraId="06024D58" w14:textId="77777777" w:rsidR="002F4F56" w:rsidRPr="00293C9B" w:rsidRDefault="002F4F56" w:rsidP="00293C9B">
      <w:pPr>
        <w:spacing w:line="24" w:lineRule="atLeast"/>
        <w:jc w:val="both"/>
        <w:rPr>
          <w:rFonts w:asciiTheme="minorHAnsi" w:hAnsiTheme="minorHAnsi" w:cstheme="minorHAnsi"/>
          <w:sz w:val="22"/>
          <w:szCs w:val="22"/>
        </w:rPr>
      </w:pPr>
    </w:p>
    <w:p w14:paraId="215DE8A9"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Zamawiający wymaga również, aby wszystkie dostarczane systemy wspomagające były sprawdzone w praktyce rynkowej i spełniały wymagania w tym obszarze analogicznie do firewalli, oznacza to, iż oprogramowanie systemowe realizujące wszystkie wymagane funkcje jak też samo urządzenie musiało być dostępne na rynku co najmniej 6 miesięcy przed terminem składania ofert.</w:t>
      </w:r>
    </w:p>
    <w:p w14:paraId="2AB35E02" w14:textId="77777777" w:rsidR="002F4F56" w:rsidRPr="00293C9B" w:rsidRDefault="002F4F56" w:rsidP="00293C9B">
      <w:pPr>
        <w:spacing w:line="24" w:lineRule="atLeast"/>
        <w:jc w:val="both"/>
        <w:rPr>
          <w:rFonts w:asciiTheme="minorHAnsi" w:hAnsiTheme="minorHAnsi" w:cstheme="minorHAnsi"/>
          <w:sz w:val="22"/>
          <w:szCs w:val="22"/>
        </w:rPr>
      </w:pPr>
    </w:p>
    <w:p w14:paraId="3E2A388F"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 xml:space="preserve">Zapewnienie redundancji nie jest wymagane dla usług realizowanych z chmury </w:t>
      </w:r>
      <w:proofErr w:type="spellStart"/>
      <w:r w:rsidRPr="00293C9B">
        <w:rPr>
          <w:rFonts w:asciiTheme="minorHAnsi" w:hAnsiTheme="minorHAnsi" w:cstheme="minorHAnsi"/>
          <w:sz w:val="22"/>
          <w:szCs w:val="22"/>
        </w:rPr>
        <w:t>Threat</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Intelligence</w:t>
      </w:r>
      <w:proofErr w:type="spellEnd"/>
      <w:r w:rsidRPr="00293C9B">
        <w:rPr>
          <w:rFonts w:asciiTheme="minorHAnsi" w:hAnsiTheme="minorHAnsi" w:cstheme="minorHAnsi"/>
          <w:sz w:val="22"/>
          <w:szCs w:val="22"/>
        </w:rPr>
        <w:t xml:space="preserve"> producenta oferowanego rozwiązania</w:t>
      </w:r>
    </w:p>
    <w:p w14:paraId="74C8AAE0" w14:textId="77777777" w:rsidR="002F4F56" w:rsidRPr="00293C9B" w:rsidRDefault="002F4F56" w:rsidP="00293C9B">
      <w:pPr>
        <w:spacing w:line="24" w:lineRule="atLeast"/>
        <w:rPr>
          <w:rFonts w:asciiTheme="minorHAnsi" w:hAnsiTheme="minorHAnsi" w:cstheme="minorHAnsi"/>
          <w:i/>
          <w:iCs/>
          <w:sz w:val="22"/>
          <w:szCs w:val="22"/>
        </w:rPr>
      </w:pPr>
    </w:p>
    <w:p w14:paraId="515046EA" w14:textId="77777777" w:rsidR="002F4F56" w:rsidRPr="00293C9B" w:rsidRDefault="002F4F56" w:rsidP="00293C9B">
      <w:pPr>
        <w:spacing w:line="24" w:lineRule="atLeast"/>
        <w:rPr>
          <w:rFonts w:asciiTheme="minorHAnsi" w:hAnsiTheme="minorHAnsi" w:cstheme="minorHAnsi"/>
          <w:i/>
          <w:iCs/>
          <w:sz w:val="22"/>
          <w:szCs w:val="22"/>
        </w:rPr>
      </w:pPr>
    </w:p>
    <w:p w14:paraId="6E90484B" w14:textId="77777777" w:rsidR="002F4F56" w:rsidRPr="00293C9B" w:rsidRDefault="002F4F56" w:rsidP="00293C9B">
      <w:pPr>
        <w:pStyle w:val="Akapitzlist"/>
        <w:numPr>
          <w:ilvl w:val="0"/>
          <w:numId w:val="16"/>
        </w:numPr>
        <w:spacing w:after="0" w:line="24" w:lineRule="atLeast"/>
        <w:ind w:left="426"/>
        <w:contextualSpacing w:val="0"/>
        <w:jc w:val="both"/>
        <w:rPr>
          <w:rFonts w:asciiTheme="minorHAnsi" w:eastAsia="Times New Roman" w:hAnsiTheme="minorHAnsi" w:cstheme="minorHAnsi"/>
          <w:b/>
          <w:bCs/>
        </w:rPr>
      </w:pPr>
      <w:r w:rsidRPr="00293C9B">
        <w:rPr>
          <w:rFonts w:asciiTheme="minorHAnsi" w:eastAsia="Times New Roman" w:hAnsiTheme="minorHAnsi" w:cstheme="minorHAnsi"/>
          <w:b/>
          <w:bCs/>
        </w:rPr>
        <w:t>Wymagania ogólne dla NGFW TYP I – ilość sztuk 14</w:t>
      </w:r>
    </w:p>
    <w:p w14:paraId="30325F02" w14:textId="77777777" w:rsidR="002F4F56" w:rsidRPr="00293C9B" w:rsidRDefault="002F4F56" w:rsidP="00293C9B">
      <w:pPr>
        <w:spacing w:line="24" w:lineRule="atLeast"/>
        <w:jc w:val="both"/>
        <w:rPr>
          <w:rFonts w:asciiTheme="minorHAnsi" w:hAnsiTheme="minorHAnsi" w:cstheme="minorHAnsi"/>
          <w:sz w:val="22"/>
          <w:szCs w:val="22"/>
        </w:rPr>
      </w:pPr>
    </w:p>
    <w:p w14:paraId="71EF20AA" w14:textId="7DC50799" w:rsid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 xml:space="preserve">Firewalle muszą być dostarczone w postaci dedykowanych rozwiązań sprzętowo-programowych – tzw. </w:t>
      </w:r>
      <w:proofErr w:type="spellStart"/>
      <w:r w:rsidRPr="00293C9B">
        <w:rPr>
          <w:rFonts w:asciiTheme="minorHAnsi" w:hAnsiTheme="minorHAnsi" w:cstheme="minorHAnsi"/>
          <w:b/>
          <w:bCs/>
          <w:sz w:val="22"/>
          <w:szCs w:val="22"/>
        </w:rPr>
        <w:t>appliance</w:t>
      </w:r>
      <w:proofErr w:type="spellEnd"/>
      <w:r w:rsidRPr="00293C9B">
        <w:rPr>
          <w:rFonts w:asciiTheme="minorHAnsi" w:hAnsiTheme="minorHAnsi" w:cstheme="minorHAnsi"/>
          <w:b/>
          <w:bCs/>
          <w:sz w:val="22"/>
          <w:szCs w:val="22"/>
        </w:rPr>
        <w:t>.</w:t>
      </w:r>
    </w:p>
    <w:p w14:paraId="0AC183E1" w14:textId="77777777" w:rsidR="00293C9B" w:rsidRDefault="00293C9B" w:rsidP="00293C9B">
      <w:pPr>
        <w:spacing w:line="24" w:lineRule="atLeast"/>
        <w:ind w:left="426"/>
        <w:jc w:val="both"/>
        <w:rPr>
          <w:rFonts w:asciiTheme="minorHAnsi" w:hAnsiTheme="minorHAnsi" w:cstheme="minorHAnsi"/>
          <w:b/>
          <w:bCs/>
          <w:sz w:val="22"/>
          <w:szCs w:val="22"/>
        </w:rPr>
      </w:pPr>
    </w:p>
    <w:p w14:paraId="7AD7874C" w14:textId="4BBECDEF" w:rsidR="002F4F56" w:rsidRP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Cechy podstawowe:</w:t>
      </w:r>
    </w:p>
    <w:p w14:paraId="59F4B208" w14:textId="77777777" w:rsidR="002F4F56" w:rsidRPr="00293C9B" w:rsidRDefault="002F4F56" w:rsidP="00293C9B">
      <w:pPr>
        <w:pStyle w:val="Akapitzlist"/>
        <w:numPr>
          <w:ilvl w:val="0"/>
          <w:numId w:val="24"/>
        </w:numPr>
        <w:spacing w:after="0" w:line="24" w:lineRule="atLeast"/>
        <w:contextualSpacing w:val="0"/>
        <w:rPr>
          <w:rFonts w:asciiTheme="minorHAnsi" w:eastAsia="Times New Roman" w:hAnsiTheme="minorHAnsi" w:cstheme="minorHAnsi"/>
          <w:lang w:eastAsia="pl-PL"/>
        </w:rPr>
      </w:pPr>
      <w:r w:rsidRPr="00293C9B">
        <w:rPr>
          <w:rFonts w:asciiTheme="minorHAnsi" w:eastAsia="Times New Roman" w:hAnsiTheme="minorHAnsi" w:cstheme="minorHAnsi"/>
          <w:lang w:eastAsia="pl-PL"/>
        </w:rPr>
        <w:t>Urządzenie brzegowe, zapewniające możliwość realizacji funkcjonalności FW lub NGFW, VPN, IDS, IPS lub NGIPS albo filtrowania treści</w:t>
      </w:r>
    </w:p>
    <w:p w14:paraId="1B5ED5D8" w14:textId="77777777" w:rsidR="002F4F56" w:rsidRPr="00293C9B" w:rsidRDefault="002F4F56" w:rsidP="00293C9B">
      <w:pPr>
        <w:numPr>
          <w:ilvl w:val="0"/>
          <w:numId w:val="24"/>
        </w:numPr>
        <w:spacing w:line="24" w:lineRule="atLeast"/>
        <w:rPr>
          <w:rFonts w:asciiTheme="minorHAnsi" w:hAnsiTheme="minorHAnsi" w:cstheme="minorHAnsi"/>
          <w:sz w:val="22"/>
          <w:szCs w:val="22"/>
        </w:rPr>
      </w:pPr>
      <w:r w:rsidRPr="00293C9B">
        <w:rPr>
          <w:rFonts w:asciiTheme="minorHAnsi" w:hAnsiTheme="minorHAnsi" w:cstheme="minorHAnsi"/>
          <w:sz w:val="22"/>
          <w:szCs w:val="22"/>
        </w:rPr>
        <w:t xml:space="preserve">Wydajność filtracji na poziomie co najmniej 500 </w:t>
      </w:r>
      <w:proofErr w:type="spellStart"/>
      <w:r w:rsidRPr="00293C9B">
        <w:rPr>
          <w:rFonts w:asciiTheme="minorHAnsi" w:hAnsiTheme="minorHAnsi" w:cstheme="minorHAnsi"/>
          <w:sz w:val="22"/>
          <w:szCs w:val="22"/>
        </w:rPr>
        <w:t>Mbps</w:t>
      </w:r>
      <w:proofErr w:type="spellEnd"/>
    </w:p>
    <w:p w14:paraId="203E7964" w14:textId="77777777" w:rsidR="002F4F56" w:rsidRPr="00293C9B" w:rsidRDefault="002F4F56" w:rsidP="00293C9B">
      <w:pPr>
        <w:numPr>
          <w:ilvl w:val="0"/>
          <w:numId w:val="24"/>
        </w:numPr>
        <w:spacing w:line="24" w:lineRule="atLeast"/>
        <w:rPr>
          <w:rFonts w:asciiTheme="minorHAnsi" w:hAnsiTheme="minorHAnsi" w:cstheme="minorHAnsi"/>
          <w:sz w:val="22"/>
          <w:szCs w:val="22"/>
        </w:rPr>
      </w:pPr>
      <w:r w:rsidRPr="00293C9B">
        <w:rPr>
          <w:rFonts w:asciiTheme="minorHAnsi" w:hAnsiTheme="minorHAnsi" w:cstheme="minorHAnsi"/>
          <w:sz w:val="22"/>
          <w:szCs w:val="22"/>
        </w:rPr>
        <w:t>Obsługa IPv4 i IPv6</w:t>
      </w:r>
    </w:p>
    <w:p w14:paraId="17C3B477" w14:textId="77777777" w:rsidR="002F4F56" w:rsidRPr="00293C9B" w:rsidRDefault="002F4F56" w:rsidP="00293C9B">
      <w:pPr>
        <w:numPr>
          <w:ilvl w:val="0"/>
          <w:numId w:val="24"/>
        </w:numPr>
        <w:spacing w:line="24" w:lineRule="atLeast"/>
        <w:rPr>
          <w:rFonts w:asciiTheme="minorHAnsi" w:hAnsiTheme="minorHAnsi" w:cstheme="minorHAnsi"/>
          <w:sz w:val="22"/>
          <w:szCs w:val="22"/>
        </w:rPr>
      </w:pPr>
      <w:r w:rsidRPr="00293C9B">
        <w:rPr>
          <w:rFonts w:asciiTheme="minorHAnsi" w:hAnsiTheme="minorHAnsi" w:cstheme="minorHAnsi"/>
          <w:sz w:val="22"/>
          <w:szCs w:val="22"/>
        </w:rPr>
        <w:t>Możliwość zarządzania za pomocą standardowych protokołów (co najmniej SSH, HTTP) przez IPv4 i IPv6</w:t>
      </w:r>
    </w:p>
    <w:p w14:paraId="49EF097A" w14:textId="77777777" w:rsidR="002F4F56" w:rsidRPr="00293C9B" w:rsidRDefault="002F4F56" w:rsidP="00293C9B">
      <w:pPr>
        <w:pStyle w:val="Akapitzlist"/>
        <w:numPr>
          <w:ilvl w:val="0"/>
          <w:numId w:val="24"/>
        </w:numPr>
        <w:spacing w:after="0" w:line="24" w:lineRule="atLeast"/>
        <w:contextualSpacing w:val="0"/>
        <w:jc w:val="both"/>
        <w:rPr>
          <w:rFonts w:asciiTheme="minorHAnsi" w:eastAsia="Times New Roman" w:hAnsiTheme="minorHAnsi" w:cstheme="minorHAnsi"/>
          <w:b/>
          <w:bCs/>
        </w:rPr>
      </w:pPr>
      <w:r w:rsidRPr="00293C9B">
        <w:rPr>
          <w:rFonts w:asciiTheme="minorHAnsi" w:eastAsia="Times New Roman" w:hAnsiTheme="minorHAnsi" w:cstheme="minorHAnsi"/>
          <w:lang w:eastAsia="pl-PL"/>
        </w:rPr>
        <w:t xml:space="preserve">Obudowa typu desktop z możliwością montażu na ścianie lub w szafie </w:t>
      </w:r>
      <w:proofErr w:type="spellStart"/>
      <w:r w:rsidRPr="00293C9B">
        <w:rPr>
          <w:rFonts w:asciiTheme="minorHAnsi" w:eastAsia="Times New Roman" w:hAnsiTheme="minorHAnsi" w:cstheme="minorHAnsi"/>
          <w:lang w:eastAsia="pl-PL"/>
        </w:rPr>
        <w:t>rack</w:t>
      </w:r>
      <w:proofErr w:type="spellEnd"/>
      <w:r w:rsidRPr="00293C9B">
        <w:rPr>
          <w:rFonts w:asciiTheme="minorHAnsi" w:eastAsia="Times New Roman" w:hAnsiTheme="minorHAnsi" w:cstheme="minorHAnsi"/>
          <w:lang w:eastAsia="pl-PL"/>
        </w:rPr>
        <w:t xml:space="preserve"> 19”</w:t>
      </w:r>
    </w:p>
    <w:p w14:paraId="724B7BC3" w14:textId="77777777" w:rsidR="002F4F56" w:rsidRPr="00293C9B" w:rsidRDefault="002F4F56" w:rsidP="00293C9B">
      <w:pPr>
        <w:spacing w:line="24" w:lineRule="atLeast"/>
        <w:ind w:left="426"/>
        <w:jc w:val="both"/>
        <w:rPr>
          <w:rFonts w:asciiTheme="minorHAnsi" w:hAnsiTheme="minorHAnsi" w:cstheme="minorHAnsi"/>
          <w:b/>
          <w:bCs/>
          <w:sz w:val="22"/>
          <w:szCs w:val="22"/>
        </w:rPr>
      </w:pPr>
    </w:p>
    <w:p w14:paraId="54D7DE00" w14:textId="77777777" w:rsidR="002F4F56" w:rsidRPr="00293C9B" w:rsidRDefault="002F4F56" w:rsidP="00293C9B">
      <w:pPr>
        <w:spacing w:line="24" w:lineRule="atLeast"/>
        <w:ind w:left="426"/>
        <w:jc w:val="both"/>
        <w:rPr>
          <w:rFonts w:asciiTheme="minorHAnsi" w:hAnsiTheme="minorHAnsi" w:cstheme="minorHAnsi"/>
          <w:sz w:val="22"/>
          <w:szCs w:val="22"/>
        </w:rPr>
      </w:pPr>
    </w:p>
    <w:p w14:paraId="786C9112" w14:textId="77777777" w:rsidR="002F4F56" w:rsidRP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 xml:space="preserve">Cechy wydajnościowe: </w:t>
      </w:r>
    </w:p>
    <w:p w14:paraId="2512CA89"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2.6 </w:t>
      </w:r>
      <w:proofErr w:type="spellStart"/>
      <w:r w:rsidRPr="00293C9B">
        <w:rPr>
          <w:rFonts w:asciiTheme="minorHAnsi" w:hAnsiTheme="minorHAnsi" w:cstheme="minorHAnsi"/>
          <w:sz w:val="22"/>
          <w:szCs w:val="22"/>
        </w:rPr>
        <w:t>Gbps</w:t>
      </w:r>
      <w:proofErr w:type="spellEnd"/>
      <w:r w:rsidRPr="00293C9B">
        <w:rPr>
          <w:rFonts w:asciiTheme="minorHAnsi" w:hAnsiTheme="minorHAnsi" w:cstheme="minorHAnsi"/>
          <w:sz w:val="22"/>
          <w:szCs w:val="22"/>
        </w:rPr>
        <w:t xml:space="preserve"> przepustowości Firewall/kontroli aplikacji;</w:t>
      </w:r>
    </w:p>
    <w:p w14:paraId="5CF0C182"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1.2 </w:t>
      </w:r>
      <w:proofErr w:type="spellStart"/>
      <w:r w:rsidRPr="00293C9B">
        <w:rPr>
          <w:rFonts w:asciiTheme="minorHAnsi" w:hAnsiTheme="minorHAnsi" w:cstheme="minorHAnsi"/>
          <w:sz w:val="22"/>
          <w:szCs w:val="22"/>
        </w:rPr>
        <w:t>Gbps</w:t>
      </w:r>
      <w:proofErr w:type="spellEnd"/>
      <w:r w:rsidRPr="00293C9B">
        <w:rPr>
          <w:rFonts w:asciiTheme="minorHAnsi" w:hAnsiTheme="minorHAnsi" w:cstheme="minorHAnsi"/>
          <w:sz w:val="22"/>
          <w:szCs w:val="22"/>
        </w:rPr>
        <w:t xml:space="preserve"> przepustowości Firewall/kontroli aplikacji/IPS/Antywirus/</w:t>
      </w:r>
      <w:proofErr w:type="spellStart"/>
      <w:r w:rsidRPr="00293C9B">
        <w:rPr>
          <w:rFonts w:asciiTheme="minorHAnsi" w:hAnsiTheme="minorHAnsi" w:cstheme="minorHAnsi"/>
          <w:sz w:val="22"/>
          <w:szCs w:val="22"/>
        </w:rPr>
        <w:t>Antymalware</w:t>
      </w:r>
      <w:proofErr w:type="spellEnd"/>
      <w:r w:rsidRPr="00293C9B">
        <w:rPr>
          <w:rFonts w:asciiTheme="minorHAnsi" w:hAnsiTheme="minorHAnsi" w:cstheme="minorHAnsi"/>
          <w:sz w:val="22"/>
          <w:szCs w:val="22"/>
        </w:rPr>
        <w:t>;</w:t>
      </w:r>
    </w:p>
    <w:p w14:paraId="1B3C8CF8"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lastRenderedPageBreak/>
        <w:t xml:space="preserve">1.1 </w:t>
      </w:r>
      <w:proofErr w:type="spellStart"/>
      <w:r w:rsidRPr="00293C9B">
        <w:rPr>
          <w:rFonts w:asciiTheme="minorHAnsi" w:hAnsiTheme="minorHAnsi" w:cstheme="minorHAnsi"/>
          <w:sz w:val="22"/>
          <w:szCs w:val="22"/>
        </w:rPr>
        <w:t>Gbps</w:t>
      </w:r>
      <w:proofErr w:type="spellEnd"/>
      <w:r w:rsidRPr="00293C9B">
        <w:rPr>
          <w:rFonts w:asciiTheme="minorHAnsi" w:hAnsiTheme="minorHAnsi" w:cstheme="minorHAnsi"/>
          <w:sz w:val="22"/>
          <w:szCs w:val="22"/>
        </w:rPr>
        <w:t xml:space="preserve"> dla </w:t>
      </w:r>
      <w:proofErr w:type="spellStart"/>
      <w:r w:rsidRPr="00293C9B">
        <w:rPr>
          <w:rFonts w:asciiTheme="minorHAnsi" w:hAnsiTheme="minorHAnsi" w:cstheme="minorHAnsi"/>
          <w:sz w:val="22"/>
          <w:szCs w:val="22"/>
        </w:rPr>
        <w:t>IPsec</w:t>
      </w:r>
      <w:proofErr w:type="spellEnd"/>
      <w:r w:rsidRPr="00293C9B">
        <w:rPr>
          <w:rFonts w:asciiTheme="minorHAnsi" w:hAnsiTheme="minorHAnsi" w:cstheme="minorHAnsi"/>
          <w:sz w:val="22"/>
          <w:szCs w:val="22"/>
        </w:rPr>
        <w:t xml:space="preserve"> VPN;</w:t>
      </w:r>
    </w:p>
    <w:p w14:paraId="7CF8B96B"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200 000 jednoczesnych sesji; </w:t>
      </w:r>
    </w:p>
    <w:p w14:paraId="6CEE27F8"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34 000 nowych połączeń na sekundę; </w:t>
      </w:r>
    </w:p>
    <w:p w14:paraId="078036BB"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1000 tuneli SSL VPN Remote Access z wykorzystaniem klienta VPN; </w:t>
      </w:r>
    </w:p>
    <w:p w14:paraId="5CC04B1F"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3 wirtualnych routerów posiadających odrębne tabele routingu; </w:t>
      </w:r>
    </w:p>
    <w:p w14:paraId="580EBE06"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licencyjnej rozbudowy do 2 wirtualnych instancji firewall (określanych jako kontekst/domena/system). Każda z instancji musi pozwalać na konfigurację niezależnych oraz odrębnych od innych instancji – polityk bezpieczeństwa (co najmniej dla IPS, AV i współpracy z </w:t>
      </w:r>
      <w:proofErr w:type="spellStart"/>
      <w:r w:rsidRPr="00293C9B">
        <w:rPr>
          <w:rFonts w:asciiTheme="minorHAnsi" w:hAnsiTheme="minorHAnsi" w:cstheme="minorHAnsi"/>
          <w:sz w:val="22"/>
          <w:szCs w:val="22"/>
        </w:rPr>
        <w:t>sandboxem</w:t>
      </w:r>
      <w:proofErr w:type="spellEnd"/>
      <w:r w:rsidRPr="00293C9B">
        <w:rPr>
          <w:rFonts w:asciiTheme="minorHAnsi" w:hAnsiTheme="minorHAnsi" w:cstheme="minorHAnsi"/>
          <w:sz w:val="22"/>
          <w:szCs w:val="22"/>
        </w:rPr>
        <w:t xml:space="preserve">), tablicy routingu oraz realizacji zdalnego dostępu. </w:t>
      </w:r>
    </w:p>
    <w:p w14:paraId="489CDD3F" w14:textId="77777777" w:rsidR="002F4F56" w:rsidRPr="00293C9B" w:rsidRDefault="002F4F56" w:rsidP="00293C9B">
      <w:pPr>
        <w:spacing w:line="24" w:lineRule="atLeast"/>
        <w:jc w:val="both"/>
        <w:rPr>
          <w:rFonts w:asciiTheme="minorHAnsi" w:hAnsiTheme="minorHAnsi" w:cstheme="minorHAnsi"/>
          <w:sz w:val="22"/>
          <w:szCs w:val="22"/>
        </w:rPr>
      </w:pPr>
    </w:p>
    <w:p w14:paraId="44E09766" w14:textId="77777777" w:rsidR="002F4F56" w:rsidRP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Cechy urządzenia – interfejsy, zasilanie:</w:t>
      </w:r>
    </w:p>
    <w:p w14:paraId="2C79208F"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Wysokość maksymalnie 1U wraz z zestawem montażowym do szafy RACK 19”;</w:t>
      </w:r>
    </w:p>
    <w:p w14:paraId="3DE2C852"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dwa redundantne zasilacze AC 230V Hot-</w:t>
      </w:r>
      <w:proofErr w:type="spellStart"/>
      <w:r w:rsidRPr="00293C9B">
        <w:rPr>
          <w:rFonts w:asciiTheme="minorHAnsi" w:hAnsiTheme="minorHAnsi" w:cstheme="minorHAnsi"/>
          <w:sz w:val="22"/>
          <w:szCs w:val="22"/>
        </w:rPr>
        <w:t>Swap</w:t>
      </w:r>
      <w:proofErr w:type="spellEnd"/>
      <w:r w:rsidRPr="00293C9B">
        <w:rPr>
          <w:rFonts w:asciiTheme="minorHAnsi" w:hAnsiTheme="minorHAnsi" w:cstheme="minorHAnsi"/>
          <w:sz w:val="22"/>
          <w:szCs w:val="22"/>
        </w:rPr>
        <w:t xml:space="preserve"> z kompletami kabli;</w:t>
      </w:r>
    </w:p>
    <w:p w14:paraId="402BB85F"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8 portów 1-GigabitEthernet RJ45 </w:t>
      </w:r>
    </w:p>
    <w:p w14:paraId="684CF265"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1 port 1-GigabitEthernet RJ45 wyłącznie do celów zarządzania</w:t>
      </w:r>
    </w:p>
    <w:p w14:paraId="6AFBFD62" w14:textId="77777777" w:rsidR="002F4F56" w:rsidRPr="00293C9B" w:rsidRDefault="002F4F56" w:rsidP="00293C9B">
      <w:pPr>
        <w:spacing w:line="24" w:lineRule="atLeast"/>
        <w:ind w:left="709"/>
        <w:jc w:val="both"/>
        <w:rPr>
          <w:rFonts w:asciiTheme="minorHAnsi" w:hAnsiTheme="minorHAnsi" w:cstheme="minorHAnsi"/>
          <w:sz w:val="22"/>
          <w:szCs w:val="22"/>
        </w:rPr>
      </w:pPr>
    </w:p>
    <w:p w14:paraId="603479A2" w14:textId="77777777" w:rsidR="002F4F56" w:rsidRPr="00293C9B" w:rsidRDefault="002F4F56" w:rsidP="00293C9B">
      <w:pPr>
        <w:pStyle w:val="Akapitzlist"/>
        <w:numPr>
          <w:ilvl w:val="0"/>
          <w:numId w:val="16"/>
        </w:numPr>
        <w:spacing w:after="0" w:line="24" w:lineRule="atLeast"/>
        <w:ind w:left="426"/>
        <w:contextualSpacing w:val="0"/>
        <w:jc w:val="both"/>
        <w:rPr>
          <w:rFonts w:asciiTheme="minorHAnsi" w:eastAsia="Times New Roman" w:hAnsiTheme="minorHAnsi" w:cstheme="minorHAnsi"/>
        </w:rPr>
      </w:pPr>
      <w:r w:rsidRPr="00293C9B">
        <w:rPr>
          <w:rFonts w:asciiTheme="minorHAnsi" w:eastAsia="Times New Roman" w:hAnsiTheme="minorHAnsi" w:cstheme="minorHAnsi"/>
          <w:b/>
          <w:bCs/>
        </w:rPr>
        <w:t>Wymagania ogólne dla NGFW TYP II – sztuk 1</w:t>
      </w:r>
    </w:p>
    <w:p w14:paraId="582B1E62" w14:textId="77777777" w:rsidR="002F4F56" w:rsidRPr="00293C9B" w:rsidRDefault="002F4F56" w:rsidP="00293C9B">
      <w:pPr>
        <w:pStyle w:val="Akapitzlist"/>
        <w:spacing w:after="0" w:line="24" w:lineRule="atLeast"/>
        <w:ind w:left="426"/>
        <w:contextualSpacing w:val="0"/>
        <w:jc w:val="both"/>
        <w:rPr>
          <w:rFonts w:asciiTheme="minorHAnsi" w:eastAsia="Times New Roman" w:hAnsiTheme="minorHAnsi" w:cstheme="minorHAnsi"/>
        </w:rPr>
      </w:pPr>
    </w:p>
    <w:p w14:paraId="093969F9" w14:textId="77777777" w:rsidR="002F4F56" w:rsidRPr="00293C9B" w:rsidRDefault="002F4F56" w:rsidP="00293C9B">
      <w:pPr>
        <w:numPr>
          <w:ilvl w:val="0"/>
          <w:numId w:val="21"/>
        </w:num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 xml:space="preserve">Firewall musi być dostarczony w postaci dedykowanego rozwiązania sprzętowo-programowego – tzw. </w:t>
      </w:r>
      <w:proofErr w:type="spellStart"/>
      <w:r w:rsidRPr="00293C9B">
        <w:rPr>
          <w:rFonts w:asciiTheme="minorHAnsi" w:hAnsiTheme="minorHAnsi" w:cstheme="minorHAnsi"/>
          <w:b/>
          <w:bCs/>
          <w:sz w:val="22"/>
          <w:szCs w:val="22"/>
        </w:rPr>
        <w:t>appliance</w:t>
      </w:r>
      <w:proofErr w:type="spellEnd"/>
      <w:r w:rsidRPr="00293C9B">
        <w:rPr>
          <w:rFonts w:asciiTheme="minorHAnsi" w:hAnsiTheme="minorHAnsi" w:cstheme="minorHAnsi"/>
          <w:b/>
          <w:bCs/>
          <w:sz w:val="22"/>
          <w:szCs w:val="22"/>
        </w:rPr>
        <w:t>.</w:t>
      </w:r>
    </w:p>
    <w:p w14:paraId="7AA33D29" w14:textId="77777777" w:rsidR="002F4F56" w:rsidRPr="00293C9B" w:rsidRDefault="002F4F56" w:rsidP="00293C9B">
      <w:pPr>
        <w:spacing w:line="24" w:lineRule="atLeast"/>
        <w:ind w:left="426"/>
        <w:jc w:val="both"/>
        <w:rPr>
          <w:rFonts w:asciiTheme="minorHAnsi" w:hAnsiTheme="minorHAnsi" w:cstheme="minorHAnsi"/>
          <w:b/>
          <w:bCs/>
          <w:sz w:val="22"/>
          <w:szCs w:val="22"/>
        </w:rPr>
      </w:pPr>
    </w:p>
    <w:p w14:paraId="636E4794" w14:textId="77777777" w:rsidR="002F4F56" w:rsidRPr="00293C9B" w:rsidRDefault="002F4F56" w:rsidP="00293C9B">
      <w:pPr>
        <w:numPr>
          <w:ilvl w:val="0"/>
          <w:numId w:val="21"/>
        </w:num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Cechy podstawowe:</w:t>
      </w:r>
    </w:p>
    <w:p w14:paraId="1ED15704" w14:textId="77777777" w:rsidR="002F4F56" w:rsidRPr="00293C9B" w:rsidRDefault="002F4F56" w:rsidP="00293C9B">
      <w:pPr>
        <w:pStyle w:val="Akapitzlist"/>
        <w:numPr>
          <w:ilvl w:val="0"/>
          <w:numId w:val="30"/>
        </w:numPr>
        <w:spacing w:after="0" w:line="24" w:lineRule="atLeast"/>
        <w:contextualSpacing w:val="0"/>
        <w:rPr>
          <w:rFonts w:asciiTheme="minorHAnsi" w:eastAsia="Times New Roman" w:hAnsiTheme="minorHAnsi" w:cstheme="minorHAnsi"/>
          <w:lang w:eastAsia="pl-PL"/>
        </w:rPr>
      </w:pPr>
      <w:r w:rsidRPr="00293C9B">
        <w:rPr>
          <w:rFonts w:asciiTheme="minorHAnsi" w:eastAsia="Times New Roman" w:hAnsiTheme="minorHAnsi" w:cstheme="minorHAnsi"/>
          <w:lang w:eastAsia="pl-PL"/>
        </w:rPr>
        <w:t>Urządzenie brzegowe, zapewniające możliwość realizacji funkcjonalności FW lub NGFW, VPN, IDS, IPS lub NGIPS albo filtrowania treści</w:t>
      </w:r>
    </w:p>
    <w:p w14:paraId="60040872" w14:textId="77777777" w:rsidR="002F4F56" w:rsidRPr="00293C9B" w:rsidRDefault="002F4F56" w:rsidP="00293C9B">
      <w:pPr>
        <w:numPr>
          <w:ilvl w:val="0"/>
          <w:numId w:val="30"/>
        </w:numPr>
        <w:spacing w:line="24" w:lineRule="atLeast"/>
        <w:rPr>
          <w:rFonts w:asciiTheme="minorHAnsi" w:hAnsiTheme="minorHAnsi" w:cstheme="minorHAnsi"/>
          <w:sz w:val="22"/>
          <w:szCs w:val="22"/>
        </w:rPr>
      </w:pPr>
      <w:r w:rsidRPr="00293C9B">
        <w:rPr>
          <w:rFonts w:asciiTheme="minorHAnsi" w:hAnsiTheme="minorHAnsi" w:cstheme="minorHAnsi"/>
          <w:sz w:val="22"/>
          <w:szCs w:val="22"/>
        </w:rPr>
        <w:t xml:space="preserve">Wydajność filtracji na poziomie co najmniej 500 </w:t>
      </w:r>
      <w:proofErr w:type="spellStart"/>
      <w:r w:rsidRPr="00293C9B">
        <w:rPr>
          <w:rFonts w:asciiTheme="minorHAnsi" w:hAnsiTheme="minorHAnsi" w:cstheme="minorHAnsi"/>
          <w:sz w:val="22"/>
          <w:szCs w:val="22"/>
        </w:rPr>
        <w:t>Mbps</w:t>
      </w:r>
      <w:proofErr w:type="spellEnd"/>
    </w:p>
    <w:p w14:paraId="15C4EF02" w14:textId="77777777" w:rsidR="002F4F56" w:rsidRPr="00293C9B" w:rsidRDefault="002F4F56" w:rsidP="00293C9B">
      <w:pPr>
        <w:numPr>
          <w:ilvl w:val="0"/>
          <w:numId w:val="30"/>
        </w:numPr>
        <w:spacing w:line="24" w:lineRule="atLeast"/>
        <w:rPr>
          <w:rFonts w:asciiTheme="minorHAnsi" w:hAnsiTheme="minorHAnsi" w:cstheme="minorHAnsi"/>
          <w:sz w:val="22"/>
          <w:szCs w:val="22"/>
        </w:rPr>
      </w:pPr>
      <w:r w:rsidRPr="00293C9B">
        <w:rPr>
          <w:rFonts w:asciiTheme="minorHAnsi" w:hAnsiTheme="minorHAnsi" w:cstheme="minorHAnsi"/>
          <w:sz w:val="22"/>
          <w:szCs w:val="22"/>
        </w:rPr>
        <w:t>Obsługa IPv4 i IPv6</w:t>
      </w:r>
    </w:p>
    <w:p w14:paraId="3F11E14A" w14:textId="77777777" w:rsidR="002F4F56" w:rsidRPr="00293C9B" w:rsidRDefault="002F4F56" w:rsidP="00293C9B">
      <w:pPr>
        <w:numPr>
          <w:ilvl w:val="0"/>
          <w:numId w:val="30"/>
        </w:numPr>
        <w:spacing w:line="24" w:lineRule="atLeast"/>
        <w:rPr>
          <w:rFonts w:asciiTheme="minorHAnsi" w:hAnsiTheme="minorHAnsi" w:cstheme="minorHAnsi"/>
          <w:sz w:val="22"/>
          <w:szCs w:val="22"/>
        </w:rPr>
      </w:pPr>
      <w:r w:rsidRPr="00293C9B">
        <w:rPr>
          <w:rFonts w:asciiTheme="minorHAnsi" w:hAnsiTheme="minorHAnsi" w:cstheme="minorHAnsi"/>
          <w:sz w:val="22"/>
          <w:szCs w:val="22"/>
        </w:rPr>
        <w:t>Mechanizm zapewnienia wysokiej dostępności (HA)</w:t>
      </w:r>
    </w:p>
    <w:p w14:paraId="2BFCAB40" w14:textId="77777777" w:rsidR="002F4F56" w:rsidRPr="00293C9B" w:rsidRDefault="002F4F56" w:rsidP="00293C9B">
      <w:pPr>
        <w:numPr>
          <w:ilvl w:val="0"/>
          <w:numId w:val="30"/>
        </w:numPr>
        <w:spacing w:line="24" w:lineRule="atLeast"/>
        <w:rPr>
          <w:rFonts w:asciiTheme="minorHAnsi" w:hAnsiTheme="minorHAnsi" w:cstheme="minorHAnsi"/>
          <w:sz w:val="22"/>
          <w:szCs w:val="22"/>
        </w:rPr>
      </w:pPr>
      <w:r w:rsidRPr="00293C9B">
        <w:rPr>
          <w:rFonts w:asciiTheme="minorHAnsi" w:hAnsiTheme="minorHAnsi" w:cstheme="minorHAnsi"/>
          <w:sz w:val="22"/>
          <w:szCs w:val="22"/>
        </w:rPr>
        <w:t>Możliwość zarządzania za pomocą standardowych protokołów (co najmniej SSH, HTTP) przez IPv4 i IPv6</w:t>
      </w:r>
    </w:p>
    <w:p w14:paraId="17428826" w14:textId="77777777" w:rsidR="002F4F56" w:rsidRPr="00293C9B" w:rsidRDefault="002F4F56" w:rsidP="00293C9B">
      <w:pPr>
        <w:pStyle w:val="Akapitzlist"/>
        <w:numPr>
          <w:ilvl w:val="0"/>
          <w:numId w:val="30"/>
        </w:numPr>
        <w:spacing w:after="0" w:line="24" w:lineRule="atLeast"/>
        <w:contextualSpacing w:val="0"/>
        <w:jc w:val="both"/>
        <w:rPr>
          <w:rFonts w:asciiTheme="minorHAnsi" w:eastAsia="Times New Roman" w:hAnsiTheme="minorHAnsi" w:cstheme="minorHAnsi"/>
          <w:b/>
          <w:bCs/>
        </w:rPr>
      </w:pPr>
      <w:r w:rsidRPr="00293C9B">
        <w:rPr>
          <w:rFonts w:asciiTheme="minorHAnsi" w:eastAsia="Times New Roman" w:hAnsiTheme="minorHAnsi" w:cstheme="minorHAnsi"/>
          <w:lang w:eastAsia="pl-PL"/>
        </w:rPr>
        <w:t xml:space="preserve">Obudowa typu desktop z możliwością montażu na ścianie lub w szafie </w:t>
      </w:r>
      <w:proofErr w:type="spellStart"/>
      <w:r w:rsidRPr="00293C9B">
        <w:rPr>
          <w:rFonts w:asciiTheme="minorHAnsi" w:eastAsia="Times New Roman" w:hAnsiTheme="minorHAnsi" w:cstheme="minorHAnsi"/>
          <w:lang w:eastAsia="pl-PL"/>
        </w:rPr>
        <w:t>rack</w:t>
      </w:r>
      <w:proofErr w:type="spellEnd"/>
      <w:r w:rsidRPr="00293C9B">
        <w:rPr>
          <w:rFonts w:asciiTheme="minorHAnsi" w:eastAsia="Times New Roman" w:hAnsiTheme="minorHAnsi" w:cstheme="minorHAnsi"/>
          <w:lang w:eastAsia="pl-PL"/>
        </w:rPr>
        <w:t xml:space="preserve"> 19”</w:t>
      </w:r>
    </w:p>
    <w:p w14:paraId="6E6DE1BC" w14:textId="77777777" w:rsidR="002F4F56" w:rsidRPr="00293C9B" w:rsidRDefault="002F4F56" w:rsidP="00293C9B">
      <w:pPr>
        <w:spacing w:line="24" w:lineRule="atLeast"/>
        <w:ind w:left="426"/>
        <w:jc w:val="both"/>
        <w:rPr>
          <w:rFonts w:asciiTheme="minorHAnsi" w:hAnsiTheme="minorHAnsi" w:cstheme="minorHAnsi"/>
          <w:sz w:val="22"/>
          <w:szCs w:val="22"/>
        </w:rPr>
      </w:pPr>
    </w:p>
    <w:p w14:paraId="0879D187" w14:textId="77777777" w:rsidR="002F4F56" w:rsidRPr="00293C9B" w:rsidRDefault="002F4F56" w:rsidP="00293C9B">
      <w:pPr>
        <w:numPr>
          <w:ilvl w:val="0"/>
          <w:numId w:val="21"/>
        </w:num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 xml:space="preserve">Cechy wydajnościowe: </w:t>
      </w:r>
    </w:p>
    <w:p w14:paraId="5D6EE53B"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8 </w:t>
      </w:r>
      <w:proofErr w:type="spellStart"/>
      <w:r w:rsidRPr="00293C9B">
        <w:rPr>
          <w:rFonts w:asciiTheme="minorHAnsi" w:hAnsiTheme="minorHAnsi" w:cstheme="minorHAnsi"/>
          <w:sz w:val="22"/>
          <w:szCs w:val="22"/>
        </w:rPr>
        <w:t>Gbps</w:t>
      </w:r>
      <w:proofErr w:type="spellEnd"/>
      <w:r w:rsidRPr="00293C9B">
        <w:rPr>
          <w:rFonts w:asciiTheme="minorHAnsi" w:hAnsiTheme="minorHAnsi" w:cstheme="minorHAnsi"/>
          <w:sz w:val="22"/>
          <w:szCs w:val="22"/>
        </w:rPr>
        <w:t xml:space="preserve"> przepustowości Firewall/kontroli aplikacji;</w:t>
      </w:r>
    </w:p>
    <w:p w14:paraId="025CF41C"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3 </w:t>
      </w:r>
      <w:proofErr w:type="spellStart"/>
      <w:r w:rsidRPr="00293C9B">
        <w:rPr>
          <w:rFonts w:asciiTheme="minorHAnsi" w:hAnsiTheme="minorHAnsi" w:cstheme="minorHAnsi"/>
          <w:sz w:val="22"/>
          <w:szCs w:val="22"/>
        </w:rPr>
        <w:t>Gbps</w:t>
      </w:r>
      <w:proofErr w:type="spellEnd"/>
      <w:r w:rsidRPr="00293C9B">
        <w:rPr>
          <w:rFonts w:asciiTheme="minorHAnsi" w:hAnsiTheme="minorHAnsi" w:cstheme="minorHAnsi"/>
          <w:sz w:val="22"/>
          <w:szCs w:val="22"/>
        </w:rPr>
        <w:t xml:space="preserve"> przepustowości Firewall/kontroli aplikacji/IPS/Antywirus/</w:t>
      </w:r>
      <w:proofErr w:type="spellStart"/>
      <w:r w:rsidRPr="00293C9B">
        <w:rPr>
          <w:rFonts w:asciiTheme="minorHAnsi" w:hAnsiTheme="minorHAnsi" w:cstheme="minorHAnsi"/>
          <w:sz w:val="22"/>
          <w:szCs w:val="22"/>
        </w:rPr>
        <w:t>Antymalware</w:t>
      </w:r>
      <w:proofErr w:type="spellEnd"/>
      <w:r w:rsidRPr="00293C9B">
        <w:rPr>
          <w:rFonts w:asciiTheme="minorHAnsi" w:hAnsiTheme="minorHAnsi" w:cstheme="minorHAnsi"/>
          <w:sz w:val="22"/>
          <w:szCs w:val="22"/>
        </w:rPr>
        <w:t>;</w:t>
      </w:r>
    </w:p>
    <w:p w14:paraId="430D8A52"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3 </w:t>
      </w:r>
      <w:proofErr w:type="spellStart"/>
      <w:r w:rsidRPr="00293C9B">
        <w:rPr>
          <w:rFonts w:asciiTheme="minorHAnsi" w:hAnsiTheme="minorHAnsi" w:cstheme="minorHAnsi"/>
          <w:sz w:val="22"/>
          <w:szCs w:val="22"/>
        </w:rPr>
        <w:t>Gbps</w:t>
      </w:r>
      <w:proofErr w:type="spellEnd"/>
      <w:r w:rsidRPr="00293C9B">
        <w:rPr>
          <w:rFonts w:asciiTheme="minorHAnsi" w:hAnsiTheme="minorHAnsi" w:cstheme="minorHAnsi"/>
          <w:sz w:val="22"/>
          <w:szCs w:val="22"/>
        </w:rPr>
        <w:t xml:space="preserve"> dla </w:t>
      </w:r>
      <w:proofErr w:type="spellStart"/>
      <w:r w:rsidRPr="00293C9B">
        <w:rPr>
          <w:rFonts w:asciiTheme="minorHAnsi" w:hAnsiTheme="minorHAnsi" w:cstheme="minorHAnsi"/>
          <w:sz w:val="22"/>
          <w:szCs w:val="22"/>
        </w:rPr>
        <w:t>IPsec</w:t>
      </w:r>
      <w:proofErr w:type="spellEnd"/>
      <w:r w:rsidRPr="00293C9B">
        <w:rPr>
          <w:rFonts w:asciiTheme="minorHAnsi" w:hAnsiTheme="minorHAnsi" w:cstheme="minorHAnsi"/>
          <w:sz w:val="22"/>
          <w:szCs w:val="22"/>
        </w:rPr>
        <w:t xml:space="preserve"> VPN;</w:t>
      </w:r>
    </w:p>
    <w:p w14:paraId="798055D0"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750 000 jednoczesnych sesji; </w:t>
      </w:r>
    </w:p>
    <w:p w14:paraId="4B68FE3A"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50 000 nowych połączeń na sekundę; </w:t>
      </w:r>
    </w:p>
    <w:p w14:paraId="15EDE60B"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1500 tuneli SSL VPN Remote Access z wykorzystaniem klienta VPN; </w:t>
      </w:r>
    </w:p>
    <w:p w14:paraId="629EE7D8"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5 wirtualnych routerów posiadających odrębne tabele routingu; </w:t>
      </w:r>
    </w:p>
    <w:p w14:paraId="05313DFC"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licencyjnej rozbudowy do 5 wirtualnych instancji firewall (określanych jako kontekst/domena/system). Każda z instancji musi pozwalać na konfigurację niezależnych oraz odrębnych od innych instancji – polityk bezpieczeństwa (co najmniej dla IPS, AV i współpracy z </w:t>
      </w:r>
      <w:proofErr w:type="spellStart"/>
      <w:r w:rsidRPr="00293C9B">
        <w:rPr>
          <w:rFonts w:asciiTheme="minorHAnsi" w:hAnsiTheme="minorHAnsi" w:cstheme="minorHAnsi"/>
          <w:sz w:val="22"/>
          <w:szCs w:val="22"/>
        </w:rPr>
        <w:t>sandboxem</w:t>
      </w:r>
      <w:proofErr w:type="spellEnd"/>
      <w:r w:rsidRPr="00293C9B">
        <w:rPr>
          <w:rFonts w:asciiTheme="minorHAnsi" w:hAnsiTheme="minorHAnsi" w:cstheme="minorHAnsi"/>
          <w:sz w:val="22"/>
          <w:szCs w:val="22"/>
        </w:rPr>
        <w:t xml:space="preserve">), tablicy routingu oraz realizacji zdalnego dostępu. </w:t>
      </w:r>
    </w:p>
    <w:p w14:paraId="4D23B155"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50 stref bezpieczeństwa; </w:t>
      </w:r>
    </w:p>
    <w:p w14:paraId="6D56D9FA" w14:textId="77777777" w:rsidR="002F4F56" w:rsidRPr="00293C9B" w:rsidRDefault="002F4F56" w:rsidP="00293C9B">
      <w:pPr>
        <w:numPr>
          <w:ilvl w:val="1"/>
          <w:numId w:val="21"/>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Lokalna przestrzeń pamięci co najmniej o pojemności 100GB przeznaczona na system operacyjny oraz dzienniki zdarzeń (logi)</w:t>
      </w:r>
    </w:p>
    <w:p w14:paraId="37F52C54" w14:textId="77777777" w:rsidR="002F4F56" w:rsidRPr="00293C9B" w:rsidRDefault="002F4F56" w:rsidP="00293C9B">
      <w:pPr>
        <w:spacing w:line="24" w:lineRule="atLeast"/>
        <w:ind w:left="709"/>
        <w:jc w:val="both"/>
        <w:rPr>
          <w:rFonts w:asciiTheme="minorHAnsi" w:hAnsiTheme="minorHAnsi" w:cstheme="minorHAnsi"/>
          <w:sz w:val="22"/>
          <w:szCs w:val="22"/>
        </w:rPr>
      </w:pPr>
    </w:p>
    <w:p w14:paraId="0F35E1F3" w14:textId="77777777" w:rsidR="002F4F56" w:rsidRPr="00293C9B" w:rsidRDefault="002F4F56" w:rsidP="00293C9B">
      <w:pPr>
        <w:numPr>
          <w:ilvl w:val="0"/>
          <w:numId w:val="21"/>
        </w:num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Cechy urządzenia – interfejsy, zasilanie:</w:t>
      </w:r>
    </w:p>
    <w:p w14:paraId="60661101"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Wysokość maksymalnie 1U wraz z zestawem montażowym do szafy RACK 19”;</w:t>
      </w:r>
    </w:p>
    <w:p w14:paraId="46A73D63"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dwa redundantne zasilacze AC 230V Hot-</w:t>
      </w:r>
      <w:proofErr w:type="spellStart"/>
      <w:r w:rsidRPr="00293C9B">
        <w:rPr>
          <w:rFonts w:asciiTheme="minorHAnsi" w:hAnsiTheme="minorHAnsi" w:cstheme="minorHAnsi"/>
          <w:sz w:val="22"/>
          <w:szCs w:val="22"/>
        </w:rPr>
        <w:t>Swap</w:t>
      </w:r>
      <w:proofErr w:type="spellEnd"/>
      <w:r w:rsidRPr="00293C9B">
        <w:rPr>
          <w:rFonts w:asciiTheme="minorHAnsi" w:hAnsiTheme="minorHAnsi" w:cstheme="minorHAnsi"/>
          <w:sz w:val="22"/>
          <w:szCs w:val="22"/>
        </w:rPr>
        <w:t xml:space="preserve"> z kompletami kabli;</w:t>
      </w:r>
    </w:p>
    <w:p w14:paraId="18EAD9A1"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lastRenderedPageBreak/>
        <w:t xml:space="preserve">12 portów 1-GigabitEthernet RJ45 (dopuszcza się uzyskanie tych portów poprzez zastosowanie portów 1 </w:t>
      </w:r>
      <w:proofErr w:type="spellStart"/>
      <w:r w:rsidRPr="00293C9B">
        <w:rPr>
          <w:rFonts w:asciiTheme="minorHAnsi" w:hAnsiTheme="minorHAnsi" w:cstheme="minorHAnsi"/>
          <w:sz w:val="22"/>
          <w:szCs w:val="22"/>
        </w:rPr>
        <w:t>GigabitEthernet</w:t>
      </w:r>
      <w:proofErr w:type="spellEnd"/>
      <w:r w:rsidRPr="00293C9B">
        <w:rPr>
          <w:rFonts w:asciiTheme="minorHAnsi" w:hAnsiTheme="minorHAnsi" w:cstheme="minorHAnsi"/>
          <w:sz w:val="22"/>
          <w:szCs w:val="22"/>
        </w:rPr>
        <w:t xml:space="preserve"> SFP obsadzonych modułami z RJ45</w:t>
      </w:r>
    </w:p>
    <w:p w14:paraId="04ABC717"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4 porty 1 </w:t>
      </w:r>
      <w:proofErr w:type="spellStart"/>
      <w:r w:rsidRPr="00293C9B">
        <w:rPr>
          <w:rFonts w:asciiTheme="minorHAnsi" w:hAnsiTheme="minorHAnsi" w:cstheme="minorHAnsi"/>
          <w:sz w:val="22"/>
          <w:szCs w:val="22"/>
        </w:rPr>
        <w:t>GigabitEthernet</w:t>
      </w:r>
      <w:proofErr w:type="spellEnd"/>
      <w:r w:rsidRPr="00293C9B">
        <w:rPr>
          <w:rFonts w:asciiTheme="minorHAnsi" w:hAnsiTheme="minorHAnsi" w:cstheme="minorHAnsi"/>
          <w:sz w:val="22"/>
          <w:szCs w:val="22"/>
        </w:rPr>
        <w:t xml:space="preserve"> SFP </w:t>
      </w:r>
    </w:p>
    <w:p w14:paraId="4D01696A"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4 porty 10 </w:t>
      </w:r>
      <w:proofErr w:type="spellStart"/>
      <w:r w:rsidRPr="00293C9B">
        <w:rPr>
          <w:rFonts w:asciiTheme="minorHAnsi" w:hAnsiTheme="minorHAnsi" w:cstheme="minorHAnsi"/>
          <w:sz w:val="22"/>
          <w:szCs w:val="22"/>
        </w:rPr>
        <w:t>GigabitEthernet</w:t>
      </w:r>
      <w:proofErr w:type="spellEnd"/>
      <w:r w:rsidRPr="00293C9B">
        <w:rPr>
          <w:rFonts w:asciiTheme="minorHAnsi" w:hAnsiTheme="minorHAnsi" w:cstheme="minorHAnsi"/>
          <w:sz w:val="22"/>
          <w:szCs w:val="22"/>
        </w:rPr>
        <w:t xml:space="preserve"> SFP+ obsługujące moduły optyczne SR oraz LR</w:t>
      </w:r>
    </w:p>
    <w:p w14:paraId="4A35D9DB"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1 port 1-GigabitEthernet RJ45 lub 10-GigabitEthernet RJ45 wyłącznie do celów zarządzania (dopuszcza się uzyskanie tego portu poprzez zastosowanie portów SFP / SFP+ obsadzonych modułami z RJ45)</w:t>
      </w:r>
    </w:p>
    <w:p w14:paraId="0EF371F1" w14:textId="77777777" w:rsidR="002F4F56" w:rsidRPr="00293C9B" w:rsidRDefault="002F4F56" w:rsidP="00293C9B">
      <w:pPr>
        <w:numPr>
          <w:ilvl w:val="1"/>
          <w:numId w:val="21"/>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Urządzenie musi posiadać dedykowany/wydzielony port 2,5/5/10-GigabitEthernet (lub szybszy) dla celów połączenia urządzeń w klaster (high </w:t>
      </w:r>
      <w:proofErr w:type="spellStart"/>
      <w:r w:rsidRPr="00293C9B">
        <w:rPr>
          <w:rFonts w:asciiTheme="minorHAnsi" w:hAnsiTheme="minorHAnsi" w:cstheme="minorHAnsi"/>
          <w:sz w:val="22"/>
          <w:szCs w:val="22"/>
        </w:rPr>
        <w:t>availability</w:t>
      </w:r>
      <w:proofErr w:type="spellEnd"/>
      <w:r w:rsidRPr="00293C9B">
        <w:rPr>
          <w:rFonts w:asciiTheme="minorHAnsi" w:hAnsiTheme="minorHAnsi" w:cstheme="minorHAnsi"/>
          <w:sz w:val="22"/>
          <w:szCs w:val="22"/>
        </w:rPr>
        <w:t xml:space="preserve">). Port ten musi być traktowany jako dodatkowy względem wymaganych przez Zamawiającego. Nie dopuszcza się wykorzystania do celu </w:t>
      </w:r>
      <w:proofErr w:type="spellStart"/>
      <w:r w:rsidRPr="00293C9B">
        <w:rPr>
          <w:rFonts w:asciiTheme="minorHAnsi" w:hAnsiTheme="minorHAnsi" w:cstheme="minorHAnsi"/>
          <w:sz w:val="22"/>
          <w:szCs w:val="22"/>
        </w:rPr>
        <w:t>klastrowania</w:t>
      </w:r>
      <w:proofErr w:type="spellEnd"/>
      <w:r w:rsidRPr="00293C9B">
        <w:rPr>
          <w:rFonts w:asciiTheme="minorHAnsi" w:hAnsiTheme="minorHAnsi" w:cstheme="minorHAnsi"/>
          <w:sz w:val="22"/>
          <w:szCs w:val="22"/>
        </w:rPr>
        <w:t xml:space="preserve"> portów opisanych w podstawowych wymaganiach.</w:t>
      </w:r>
    </w:p>
    <w:p w14:paraId="2C66D3B0" w14:textId="77777777" w:rsidR="002F4F56" w:rsidRPr="00293C9B" w:rsidRDefault="002F4F56" w:rsidP="00293C9B">
      <w:pPr>
        <w:pStyle w:val="Akapitzlist"/>
        <w:spacing w:after="0" w:line="24" w:lineRule="atLeast"/>
        <w:ind w:left="360"/>
        <w:contextualSpacing w:val="0"/>
        <w:jc w:val="both"/>
        <w:rPr>
          <w:rFonts w:asciiTheme="minorHAnsi" w:eastAsia="Times New Roman" w:hAnsiTheme="minorHAnsi" w:cstheme="minorHAnsi"/>
        </w:rPr>
      </w:pPr>
    </w:p>
    <w:p w14:paraId="7CC7F674"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Wymagania funkcjonalne dla rozwiązań NGFW</w:t>
      </w:r>
    </w:p>
    <w:p w14:paraId="1E46CDD5" w14:textId="77777777" w:rsidR="002F4F56" w:rsidRPr="00293C9B" w:rsidRDefault="002F4F56" w:rsidP="00293C9B">
      <w:pPr>
        <w:spacing w:line="24" w:lineRule="atLeast"/>
        <w:jc w:val="both"/>
        <w:rPr>
          <w:rFonts w:asciiTheme="minorHAnsi" w:hAnsiTheme="minorHAnsi" w:cstheme="minorHAnsi"/>
          <w:sz w:val="22"/>
          <w:szCs w:val="22"/>
        </w:rPr>
      </w:pPr>
    </w:p>
    <w:p w14:paraId="1D532A70"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b/>
          <w:bCs/>
          <w:sz w:val="22"/>
          <w:szCs w:val="22"/>
        </w:rPr>
        <w:t>UWAGA:</w:t>
      </w:r>
      <w:r w:rsidRPr="00293C9B">
        <w:rPr>
          <w:rFonts w:asciiTheme="minorHAnsi" w:hAnsiTheme="minorHAnsi" w:cstheme="minorHAnsi"/>
          <w:sz w:val="22"/>
          <w:szCs w:val="22"/>
        </w:rPr>
        <w:t xml:space="preserve"> Wszystkie wymienione poniżej funkcje muszą być dostępne i realizowane przez firewall jednocześnie. Nie jest dopuszczalne, aby realizacja jakiejkolwiek funkcjonalności powodowała konieczność przełączenia urządzenia w inny tryb pracy ograniczający lub uniemożliwiający skorzystanie z innej wymaganej funkcji. Podobnie uruchomienie jakiekolwiek opisanej funkcji nie może spowodować wyłączenie lub ograniczenie działania innej funkcji wymaganej przez Zamawiającego.</w:t>
      </w:r>
    </w:p>
    <w:p w14:paraId="1A8FDE29" w14:textId="77777777" w:rsidR="002F4F56" w:rsidRPr="00293C9B" w:rsidRDefault="002F4F56" w:rsidP="00293C9B">
      <w:pPr>
        <w:spacing w:line="24" w:lineRule="atLeast"/>
        <w:jc w:val="both"/>
        <w:rPr>
          <w:rFonts w:asciiTheme="minorHAnsi" w:hAnsiTheme="minorHAnsi" w:cstheme="minorHAnsi"/>
          <w:sz w:val="22"/>
          <w:szCs w:val="22"/>
        </w:rPr>
      </w:pPr>
    </w:p>
    <w:p w14:paraId="1C4A8BB6"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Cechy NGFW</w:t>
      </w:r>
    </w:p>
    <w:p w14:paraId="72DE7D29" w14:textId="77777777" w:rsidR="002F4F56" w:rsidRPr="00293C9B" w:rsidRDefault="002F4F56" w:rsidP="00293C9B">
      <w:pPr>
        <w:spacing w:line="24" w:lineRule="atLeast"/>
        <w:jc w:val="both"/>
        <w:rPr>
          <w:rFonts w:asciiTheme="minorHAnsi" w:hAnsiTheme="minorHAnsi" w:cstheme="minorHAnsi"/>
          <w:sz w:val="22"/>
          <w:szCs w:val="22"/>
        </w:rPr>
      </w:pPr>
    </w:p>
    <w:p w14:paraId="5C748900"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Rozpoznawanie aplikacji bez względu na numery portów, protokoły tunelowania </w:t>
      </w:r>
      <w:r w:rsidRPr="00293C9B">
        <w:rPr>
          <w:rFonts w:asciiTheme="minorHAnsi" w:hAnsiTheme="minorHAnsi" w:cstheme="minorHAnsi"/>
          <w:sz w:val="22"/>
          <w:szCs w:val="22"/>
        </w:rPr>
        <w:br/>
        <w:t>i szyfrowania (włącznie z P2P i IM). Identyfikacja aplikacji nie może wymagać podania w konfiguracji NGFW numeru lub zakresu portów, na których jest ona dokonywana. Należy założyć, że wszystkie aplikacje mogą występować na wszystkich 65 535 dostępnych portach. NFGW musi wykrywać co najmniej 4000 aplikacji predefiniowanych przez Producenta.</w:t>
      </w:r>
    </w:p>
    <w:p w14:paraId="7DB8AF9F"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Transparentne ustalenie tożsamości użytkowników</w:t>
      </w:r>
    </w:p>
    <w:p w14:paraId="313652CF"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Realizowanie funkcjonalności na bazie profili przypisywanych na poziomie reguł bezpieczeństwa:</w:t>
      </w:r>
    </w:p>
    <w:p w14:paraId="0C13A658"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proofErr w:type="spellStart"/>
      <w:r w:rsidRPr="00293C9B">
        <w:rPr>
          <w:rFonts w:asciiTheme="minorHAnsi" w:hAnsiTheme="minorHAnsi" w:cstheme="minorHAnsi"/>
          <w:sz w:val="22"/>
          <w:szCs w:val="22"/>
        </w:rPr>
        <w:t>Intrusion</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Prevention</w:t>
      </w:r>
      <w:proofErr w:type="spellEnd"/>
      <w:r w:rsidRPr="00293C9B">
        <w:rPr>
          <w:rFonts w:asciiTheme="minorHAnsi" w:hAnsiTheme="minorHAnsi" w:cstheme="minorHAnsi"/>
          <w:sz w:val="22"/>
          <w:szCs w:val="22"/>
        </w:rPr>
        <w:t xml:space="preserve"> System (IPS), </w:t>
      </w:r>
    </w:p>
    <w:p w14:paraId="68E13AF5"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 xml:space="preserve">Antywirus (AV), </w:t>
      </w:r>
    </w:p>
    <w:p w14:paraId="239FC3AA"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Anty-Spyware / Anty-</w:t>
      </w:r>
      <w:proofErr w:type="spellStart"/>
      <w:r w:rsidRPr="00293C9B">
        <w:rPr>
          <w:rFonts w:asciiTheme="minorHAnsi" w:hAnsiTheme="minorHAnsi" w:cstheme="minorHAnsi"/>
          <w:sz w:val="22"/>
          <w:szCs w:val="22"/>
        </w:rPr>
        <w:t>Malware</w:t>
      </w:r>
      <w:proofErr w:type="spellEnd"/>
      <w:r w:rsidRPr="00293C9B">
        <w:rPr>
          <w:rFonts w:asciiTheme="minorHAnsi" w:hAnsiTheme="minorHAnsi" w:cstheme="minorHAnsi"/>
          <w:sz w:val="22"/>
          <w:szCs w:val="22"/>
        </w:rPr>
        <w:t xml:space="preserve"> ,</w:t>
      </w:r>
    </w:p>
    <w:p w14:paraId="4322117F"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Kategoryzacja URL i filtracja URL</w:t>
      </w:r>
    </w:p>
    <w:p w14:paraId="0D060C95"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ochrona DNS,</w:t>
      </w:r>
    </w:p>
    <w:p w14:paraId="3C1D62A2"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proofErr w:type="spellStart"/>
      <w:r w:rsidRPr="00293C9B">
        <w:rPr>
          <w:rFonts w:asciiTheme="minorHAnsi" w:hAnsiTheme="minorHAnsi" w:cstheme="minorHAnsi"/>
          <w:sz w:val="22"/>
          <w:szCs w:val="22"/>
        </w:rPr>
        <w:t>sandbox</w:t>
      </w:r>
      <w:proofErr w:type="spellEnd"/>
      <w:r w:rsidRPr="00293C9B">
        <w:rPr>
          <w:rFonts w:asciiTheme="minorHAnsi" w:hAnsiTheme="minorHAnsi" w:cstheme="minorHAnsi"/>
          <w:sz w:val="22"/>
          <w:szCs w:val="22"/>
        </w:rPr>
        <w:t xml:space="preserve"> lokalny lub chmurowy tego samego producenta</w:t>
      </w:r>
    </w:p>
    <w:p w14:paraId="4E5DA4A9"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Budowanie reguł bezpieczeństwa opierające się na podstawowych selektorach takich jak: strefy bezpieczeństwa źródłowe/docelowe, adresy IP źródłowe/docelowe, aplikacje (w warstwie L7 OSI), użytkownicy/grupy z Active Directory</w:t>
      </w:r>
    </w:p>
    <w:p w14:paraId="7982CFFE"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System musi zapewniać możliwość łączenia w klaster Active-Active lub Active-</w:t>
      </w:r>
      <w:proofErr w:type="spellStart"/>
      <w:r w:rsidRPr="00293C9B">
        <w:rPr>
          <w:rFonts w:asciiTheme="minorHAnsi" w:hAnsiTheme="minorHAnsi" w:cstheme="minorHAnsi"/>
          <w:sz w:val="22"/>
          <w:szCs w:val="22"/>
        </w:rPr>
        <w:t>Passive</w:t>
      </w:r>
      <w:proofErr w:type="spellEnd"/>
      <w:r w:rsidRPr="00293C9B">
        <w:rPr>
          <w:rFonts w:asciiTheme="minorHAnsi" w:hAnsiTheme="minorHAnsi" w:cstheme="minorHAnsi"/>
          <w:sz w:val="22"/>
          <w:szCs w:val="22"/>
        </w:rPr>
        <w:t>. W obu trybach system firewall zapewnia funkcję synchronizacji sesji</w:t>
      </w:r>
    </w:p>
    <w:p w14:paraId="2A7232FE" w14:textId="77777777" w:rsidR="002F4F56" w:rsidRPr="00293C9B" w:rsidRDefault="002F4F56" w:rsidP="00293C9B">
      <w:pPr>
        <w:spacing w:line="24" w:lineRule="atLeast"/>
        <w:ind w:left="284"/>
        <w:jc w:val="both"/>
        <w:rPr>
          <w:rFonts w:asciiTheme="minorHAnsi" w:hAnsiTheme="minorHAnsi" w:cstheme="minorHAnsi"/>
          <w:sz w:val="22"/>
          <w:szCs w:val="22"/>
        </w:rPr>
      </w:pPr>
    </w:p>
    <w:p w14:paraId="7A1B0D84" w14:textId="77777777" w:rsidR="002F4F56" w:rsidRPr="00293C9B" w:rsidRDefault="002F4F56" w:rsidP="00293C9B">
      <w:pPr>
        <w:spacing w:line="24" w:lineRule="atLeast"/>
        <w:jc w:val="both"/>
        <w:rPr>
          <w:rFonts w:asciiTheme="minorHAnsi" w:hAnsiTheme="minorHAnsi" w:cstheme="minorHAnsi"/>
          <w:b/>
          <w:bCs/>
          <w:i/>
          <w:iCs/>
          <w:sz w:val="22"/>
          <w:szCs w:val="22"/>
        </w:rPr>
      </w:pPr>
    </w:p>
    <w:p w14:paraId="7AE27996"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Silniki detekcyjne i ochronne NGFW</w:t>
      </w:r>
    </w:p>
    <w:p w14:paraId="5D5F5A6A" w14:textId="77777777" w:rsidR="002F4F56" w:rsidRPr="00293C9B" w:rsidRDefault="002F4F56" w:rsidP="00293C9B">
      <w:pPr>
        <w:spacing w:line="24" w:lineRule="atLeast"/>
        <w:jc w:val="both"/>
        <w:rPr>
          <w:rFonts w:asciiTheme="minorHAnsi" w:hAnsiTheme="minorHAnsi" w:cstheme="minorHAnsi"/>
          <w:i/>
          <w:iCs/>
          <w:sz w:val="22"/>
          <w:szCs w:val="22"/>
        </w:rPr>
      </w:pPr>
    </w:p>
    <w:p w14:paraId="2E1C7624" w14:textId="77777777" w:rsidR="002F4F56" w:rsidRPr="00293C9B" w:rsidRDefault="002F4F56" w:rsidP="00293C9B">
      <w:pPr>
        <w:pStyle w:val="Akapitzlist"/>
        <w:numPr>
          <w:ilvl w:val="0"/>
          <w:numId w:val="31"/>
        </w:numPr>
        <w:spacing w:after="0" w:line="24" w:lineRule="atLeast"/>
        <w:ind w:left="284"/>
        <w:contextualSpacing w:val="0"/>
        <w:jc w:val="both"/>
        <w:rPr>
          <w:rFonts w:asciiTheme="minorHAnsi" w:eastAsia="Times New Roman" w:hAnsiTheme="minorHAnsi" w:cstheme="minorHAnsi"/>
        </w:rPr>
      </w:pPr>
      <w:r w:rsidRPr="00293C9B">
        <w:rPr>
          <w:rFonts w:asciiTheme="minorHAnsi" w:eastAsia="Times New Roman" w:hAnsiTheme="minorHAnsi" w:cstheme="minorHAnsi"/>
        </w:rPr>
        <w:t xml:space="preserve">Bazy sygnatur IPS, AV, Anty-Spyware (lub innego silnika, jeżeli obejmuje on ochronę przed Spyware) muszą być przechowywane na NGFW, regularnie aktualizowane w sposób automatyczny. </w:t>
      </w:r>
    </w:p>
    <w:p w14:paraId="14ED108F"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Aktualizacje sygnatur AV muszą odbywać się nie rzadziej niż raz na 24 godziny. </w:t>
      </w:r>
    </w:p>
    <w:p w14:paraId="65A0EA61"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Musi być zapewniona możliwość tworzenia własnych sygnatur IPS bez wykorzystania zewnętrznych narzędzi (dopuszcza się tworzenie sygnatur z wykorzystaniem dostarczanego systemu zarządzania) czy wsparcia producenta.</w:t>
      </w:r>
    </w:p>
    <w:p w14:paraId="694C806D"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lastRenderedPageBreak/>
        <w:t>Urządzenie NGFW musi umożliwiać elastyczną konfigurację AV i IPS w szczególności wyłączenia części sygnatur dla określonych grup użytkowników i/lub aplikacji. Urządzenie musi umożliwiać uruchomienie funkcji IPS i AV z dokładnością do reguły bezpieczeństwa. Nie dopuszcza się by IPS i AV był uruchamiany dla całego urządzenia lub dla interfejsu fizycznego albo logicznego, gdzie administrator nie ma możliwości konfiguracji jaka część ruchu będzie podlegała inspekcji i w jakim zakresie.</w:t>
      </w:r>
    </w:p>
    <w:p w14:paraId="36E7B2BC"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Wykrywanie aktywności sieci typu </w:t>
      </w:r>
      <w:proofErr w:type="spellStart"/>
      <w:r w:rsidRPr="00293C9B">
        <w:rPr>
          <w:rFonts w:asciiTheme="minorHAnsi" w:hAnsiTheme="minorHAnsi" w:cstheme="minorHAnsi"/>
          <w:sz w:val="22"/>
          <w:szCs w:val="22"/>
        </w:rPr>
        <w:t>Botnet</w:t>
      </w:r>
      <w:proofErr w:type="spellEnd"/>
      <w:r w:rsidRPr="00293C9B">
        <w:rPr>
          <w:rFonts w:asciiTheme="minorHAnsi" w:hAnsiTheme="minorHAnsi" w:cstheme="minorHAnsi"/>
          <w:sz w:val="22"/>
          <w:szCs w:val="22"/>
        </w:rPr>
        <w:t xml:space="preserve">. </w:t>
      </w:r>
    </w:p>
    <w:p w14:paraId="71C0A7AB"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blokowania transmisji plików, co najmniej następujących typów: bat, </w:t>
      </w:r>
      <w:proofErr w:type="spellStart"/>
      <w:r w:rsidRPr="00293C9B">
        <w:rPr>
          <w:rFonts w:asciiTheme="minorHAnsi" w:hAnsiTheme="minorHAnsi" w:cstheme="minorHAnsi"/>
          <w:sz w:val="22"/>
          <w:szCs w:val="22"/>
        </w:rPr>
        <w:t>cab</w:t>
      </w:r>
      <w:proofErr w:type="spellEnd"/>
      <w:r w:rsidRPr="00293C9B">
        <w:rPr>
          <w:rFonts w:asciiTheme="minorHAnsi" w:hAnsiTheme="minorHAnsi" w:cstheme="minorHAnsi"/>
          <w:sz w:val="22"/>
          <w:szCs w:val="22"/>
        </w:rPr>
        <w:t xml:space="preserve">, pliki MS Office, </w:t>
      </w:r>
      <w:proofErr w:type="spellStart"/>
      <w:r w:rsidRPr="00293C9B">
        <w:rPr>
          <w:rFonts w:asciiTheme="minorHAnsi" w:hAnsiTheme="minorHAnsi" w:cstheme="minorHAnsi"/>
          <w:sz w:val="22"/>
          <w:szCs w:val="22"/>
        </w:rPr>
        <w:t>rar</w:t>
      </w:r>
      <w:proofErr w:type="spellEnd"/>
      <w:r w:rsidRPr="00293C9B">
        <w:rPr>
          <w:rFonts w:asciiTheme="minorHAnsi" w:hAnsiTheme="minorHAnsi" w:cstheme="minorHAnsi"/>
          <w:sz w:val="22"/>
          <w:szCs w:val="22"/>
        </w:rPr>
        <w:t xml:space="preserve">, zip, exe, </w:t>
      </w:r>
      <w:proofErr w:type="spellStart"/>
      <w:r w:rsidRPr="00293C9B">
        <w:rPr>
          <w:rFonts w:asciiTheme="minorHAnsi" w:hAnsiTheme="minorHAnsi" w:cstheme="minorHAnsi"/>
          <w:sz w:val="22"/>
          <w:szCs w:val="22"/>
        </w:rPr>
        <w:t>gzip</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hta</w:t>
      </w:r>
      <w:proofErr w:type="spellEnd"/>
      <w:r w:rsidRPr="00293C9B">
        <w:rPr>
          <w:rFonts w:asciiTheme="minorHAnsi" w:hAnsiTheme="minorHAnsi" w:cstheme="minorHAnsi"/>
          <w:sz w:val="22"/>
          <w:szCs w:val="22"/>
        </w:rPr>
        <w:t xml:space="preserve">, pdf, tar, </w:t>
      </w:r>
      <w:proofErr w:type="spellStart"/>
      <w:r w:rsidRPr="00293C9B">
        <w:rPr>
          <w:rFonts w:asciiTheme="minorHAnsi" w:hAnsiTheme="minorHAnsi" w:cstheme="minorHAnsi"/>
          <w:sz w:val="22"/>
          <w:szCs w:val="22"/>
        </w:rPr>
        <w:t>tif</w:t>
      </w:r>
      <w:proofErr w:type="spellEnd"/>
      <w:r w:rsidRPr="00293C9B">
        <w:rPr>
          <w:rFonts w:asciiTheme="minorHAnsi" w:hAnsiTheme="minorHAnsi" w:cstheme="minorHAnsi"/>
          <w:sz w:val="22"/>
          <w:szCs w:val="22"/>
        </w:rPr>
        <w:t xml:space="preserve">. Rozpoznawanie pliku na podstawie nagłówka i typu MIME. </w:t>
      </w:r>
    </w:p>
    <w:p w14:paraId="06ED2F01" w14:textId="77777777" w:rsidR="002F4F56" w:rsidRPr="00293C9B" w:rsidRDefault="002F4F56" w:rsidP="00293C9B">
      <w:pPr>
        <w:numPr>
          <w:ilvl w:val="0"/>
          <w:numId w:val="31"/>
        </w:numPr>
        <w:suppressAutoHyphens/>
        <w:spacing w:line="24" w:lineRule="atLeast"/>
        <w:ind w:left="284"/>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Funkcja filtrowania ruchu URL w oparciu o automatycznie aktualizowaną bazę kategorii stron WWW i bazę reputacji tych stron. </w:t>
      </w:r>
    </w:p>
    <w:p w14:paraId="5430F1C9"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Ocena strony musi obejmować określenie jej kategorii (np. finanse, zakupy, sport, </w:t>
      </w:r>
      <w:proofErr w:type="spellStart"/>
      <w:r w:rsidRPr="00293C9B">
        <w:rPr>
          <w:rFonts w:asciiTheme="minorHAnsi" w:eastAsia="Helvetica Neue Light" w:hAnsiTheme="minorHAnsi" w:cstheme="minorHAnsi"/>
          <w:sz w:val="22"/>
          <w:szCs w:val="22"/>
        </w:rPr>
        <w:t>itp</w:t>
      </w:r>
      <w:proofErr w:type="spellEnd"/>
      <w:r w:rsidRPr="00293C9B">
        <w:rPr>
          <w:rFonts w:asciiTheme="minorHAnsi" w:eastAsia="Helvetica Neue Light" w:hAnsiTheme="minorHAnsi" w:cstheme="minorHAnsi"/>
          <w:sz w:val="22"/>
          <w:szCs w:val="22"/>
        </w:rPr>
        <w:t xml:space="preserve">) </w:t>
      </w:r>
    </w:p>
    <w:p w14:paraId="74B87D3D"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Ocena strony musi obejmować określenie ryzyka do niej przypisanego (co najmniej </w:t>
      </w:r>
      <w:proofErr w:type="spellStart"/>
      <w:r w:rsidRPr="00293C9B">
        <w:rPr>
          <w:rFonts w:asciiTheme="minorHAnsi" w:eastAsia="Helvetica Neue Light" w:hAnsiTheme="minorHAnsi" w:cstheme="minorHAnsi"/>
          <w:sz w:val="22"/>
          <w:szCs w:val="22"/>
        </w:rPr>
        <w:t>wysokie-średnie-niskie</w:t>
      </w:r>
      <w:proofErr w:type="spellEnd"/>
      <w:r w:rsidRPr="00293C9B">
        <w:rPr>
          <w:rFonts w:asciiTheme="minorHAnsi" w:eastAsia="Helvetica Neue Light" w:hAnsiTheme="minorHAnsi" w:cstheme="minorHAnsi"/>
          <w:sz w:val="22"/>
          <w:szCs w:val="22"/>
        </w:rPr>
        <w:t xml:space="preserve">). </w:t>
      </w:r>
    </w:p>
    <w:p w14:paraId="64A98977"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Musi być zapewniona możliwość tworzenia własnych list stron (</w:t>
      </w:r>
      <w:proofErr w:type="spellStart"/>
      <w:r w:rsidRPr="00293C9B">
        <w:rPr>
          <w:rFonts w:asciiTheme="minorHAnsi" w:eastAsia="Helvetica Neue Light" w:hAnsiTheme="minorHAnsi" w:cstheme="minorHAnsi"/>
          <w:sz w:val="22"/>
          <w:szCs w:val="22"/>
        </w:rPr>
        <w:t>whitelist</w:t>
      </w:r>
      <w:proofErr w:type="spellEnd"/>
      <w:r w:rsidRPr="00293C9B">
        <w:rPr>
          <w:rFonts w:asciiTheme="minorHAnsi" w:eastAsia="Helvetica Neue Light" w:hAnsiTheme="minorHAnsi" w:cstheme="minorHAnsi"/>
          <w:sz w:val="22"/>
          <w:szCs w:val="22"/>
        </w:rPr>
        <w:t xml:space="preserve"> oraz </w:t>
      </w:r>
      <w:proofErr w:type="spellStart"/>
      <w:r w:rsidRPr="00293C9B">
        <w:rPr>
          <w:rFonts w:asciiTheme="minorHAnsi" w:eastAsia="Helvetica Neue Light" w:hAnsiTheme="minorHAnsi" w:cstheme="minorHAnsi"/>
          <w:sz w:val="22"/>
          <w:szCs w:val="22"/>
        </w:rPr>
        <w:t>blacklist</w:t>
      </w:r>
      <w:proofErr w:type="spellEnd"/>
      <w:r w:rsidRPr="00293C9B">
        <w:rPr>
          <w:rFonts w:asciiTheme="minorHAnsi" w:eastAsia="Helvetica Neue Light" w:hAnsiTheme="minorHAnsi" w:cstheme="minorHAnsi"/>
          <w:sz w:val="22"/>
          <w:szCs w:val="22"/>
        </w:rPr>
        <w:t>) bez wykorzystania zewnętrznych narzędzi czy wsparcia producenta z możliwością konfiguracji, gdzie własne listy będą miały wyższy priorytet niż klasyfikacja na bazie kategorii dostarczanych przez producenta.</w:t>
      </w:r>
    </w:p>
    <w:p w14:paraId="570B8141" w14:textId="77777777" w:rsidR="002F4F56" w:rsidRPr="00293C9B" w:rsidRDefault="002F4F56" w:rsidP="00293C9B">
      <w:pPr>
        <w:numPr>
          <w:ilvl w:val="0"/>
          <w:numId w:val="31"/>
        </w:numPr>
        <w:suppressAutoHyphens/>
        <w:spacing w:line="24" w:lineRule="atLeast"/>
        <w:ind w:left="284"/>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Funkcja ochrony przed zagrożeniami Zero Day oraz zapewnienie współpracy z </w:t>
      </w:r>
      <w:proofErr w:type="spellStart"/>
      <w:r w:rsidRPr="00293C9B">
        <w:rPr>
          <w:rFonts w:asciiTheme="minorHAnsi" w:eastAsia="Helvetica Neue Light" w:hAnsiTheme="minorHAnsi" w:cstheme="minorHAnsi"/>
          <w:sz w:val="22"/>
          <w:szCs w:val="22"/>
        </w:rPr>
        <w:t>sandboxem</w:t>
      </w:r>
      <w:proofErr w:type="spellEnd"/>
      <w:r w:rsidRPr="00293C9B">
        <w:rPr>
          <w:rFonts w:asciiTheme="minorHAnsi" w:eastAsia="Helvetica Neue Light" w:hAnsiTheme="minorHAnsi" w:cstheme="minorHAnsi"/>
          <w:sz w:val="22"/>
          <w:szCs w:val="22"/>
        </w:rPr>
        <w:t xml:space="preserve"> </w:t>
      </w:r>
    </w:p>
    <w:p w14:paraId="6F6A9172"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możliwość przesyłania do systemu </w:t>
      </w:r>
      <w:proofErr w:type="spellStart"/>
      <w:r w:rsidRPr="00293C9B">
        <w:rPr>
          <w:rFonts w:asciiTheme="minorHAnsi" w:eastAsia="Helvetica Neue Light" w:hAnsiTheme="minorHAnsi" w:cstheme="minorHAnsi"/>
          <w:sz w:val="22"/>
          <w:szCs w:val="22"/>
        </w:rPr>
        <w:t>sandbox</w:t>
      </w:r>
      <w:proofErr w:type="spellEnd"/>
      <w:r w:rsidRPr="00293C9B">
        <w:rPr>
          <w:rFonts w:asciiTheme="minorHAnsi" w:eastAsia="Helvetica Neue Light" w:hAnsiTheme="minorHAnsi" w:cstheme="minorHAnsi"/>
          <w:sz w:val="22"/>
          <w:szCs w:val="22"/>
        </w:rPr>
        <w:t xml:space="preserve"> (tego samego producenta co firewall) plików zdefiniowanych przez administratora (co najmniej exe, </w:t>
      </w:r>
      <w:proofErr w:type="spellStart"/>
      <w:r w:rsidRPr="00293C9B">
        <w:rPr>
          <w:rFonts w:asciiTheme="minorHAnsi" w:eastAsia="Helvetica Neue Light" w:hAnsiTheme="minorHAnsi" w:cstheme="minorHAnsi"/>
          <w:sz w:val="22"/>
          <w:szCs w:val="22"/>
        </w:rPr>
        <w:t>dll</w:t>
      </w:r>
      <w:proofErr w:type="spellEnd"/>
      <w:r w:rsidRPr="00293C9B">
        <w:rPr>
          <w:rFonts w:asciiTheme="minorHAnsi" w:eastAsia="Helvetica Neue Light" w:hAnsiTheme="minorHAnsi" w:cstheme="minorHAnsi"/>
          <w:sz w:val="22"/>
          <w:szCs w:val="22"/>
        </w:rPr>
        <w:t xml:space="preserve">, </w:t>
      </w:r>
      <w:proofErr w:type="spellStart"/>
      <w:r w:rsidRPr="00293C9B">
        <w:rPr>
          <w:rFonts w:asciiTheme="minorHAnsi" w:eastAsia="Helvetica Neue Light" w:hAnsiTheme="minorHAnsi" w:cstheme="minorHAnsi"/>
          <w:sz w:val="22"/>
          <w:szCs w:val="22"/>
        </w:rPr>
        <w:t>java</w:t>
      </w:r>
      <w:proofErr w:type="spellEnd"/>
      <w:r w:rsidRPr="00293C9B">
        <w:rPr>
          <w:rFonts w:asciiTheme="minorHAnsi" w:eastAsia="Helvetica Neue Light" w:hAnsiTheme="minorHAnsi" w:cstheme="minorHAnsi"/>
          <w:sz w:val="22"/>
          <w:szCs w:val="22"/>
        </w:rPr>
        <w:t>, MS Office, pdf). Zamawiający dopuszcza by odbywało się̨ to poprzez dedykowany mechanizm wbudowany w urządzenie lub przez jeden z wymaganych silników detekcyjnych przy czym funkcja ta musi mieć możliwość wskazania/wykluczania z filtrowania specyficznego ruchu sieciowego na podstawie zarówno kierunku transmisji (ruch wchodzący/wychodzący ze wskazanej strefy bezpieczeństwa), adresu źródłowego IP jak i adresu docelowego IP jak i rozpoznania aplikacji lub zdefiniowanych serwisów, np. poprzez numer portu, protokół transportowy;</w:t>
      </w:r>
    </w:p>
    <w:p w14:paraId="665AC5C3"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możliwość aktualizacji systemu firewall o nowo wykryte (w </w:t>
      </w:r>
      <w:proofErr w:type="spellStart"/>
      <w:r w:rsidRPr="00293C9B">
        <w:rPr>
          <w:rFonts w:asciiTheme="minorHAnsi" w:eastAsia="Helvetica Neue Light" w:hAnsiTheme="minorHAnsi" w:cstheme="minorHAnsi"/>
          <w:sz w:val="22"/>
          <w:szCs w:val="22"/>
        </w:rPr>
        <w:t>Sandbox</w:t>
      </w:r>
      <w:proofErr w:type="spellEnd"/>
      <w:r w:rsidRPr="00293C9B">
        <w:rPr>
          <w:rFonts w:asciiTheme="minorHAnsi" w:eastAsia="Helvetica Neue Light" w:hAnsiTheme="minorHAnsi" w:cstheme="minorHAnsi"/>
          <w:sz w:val="22"/>
          <w:szCs w:val="22"/>
        </w:rPr>
        <w:t>) zagrożenia;</w:t>
      </w:r>
    </w:p>
    <w:p w14:paraId="4361B3B7"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administrator musi posiadać dostęp do raportów z </w:t>
      </w:r>
      <w:proofErr w:type="spellStart"/>
      <w:r w:rsidRPr="00293C9B">
        <w:rPr>
          <w:rFonts w:asciiTheme="minorHAnsi" w:eastAsia="Helvetica Neue Light" w:hAnsiTheme="minorHAnsi" w:cstheme="minorHAnsi"/>
          <w:sz w:val="22"/>
          <w:szCs w:val="22"/>
        </w:rPr>
        <w:t>sandboxa</w:t>
      </w:r>
      <w:proofErr w:type="spellEnd"/>
      <w:r w:rsidRPr="00293C9B">
        <w:rPr>
          <w:rFonts w:asciiTheme="minorHAnsi" w:eastAsia="Helvetica Neue Light" w:hAnsiTheme="minorHAnsi" w:cstheme="minorHAnsi"/>
          <w:sz w:val="22"/>
          <w:szCs w:val="22"/>
        </w:rPr>
        <w:t xml:space="preserve"> dotyczących plików wysyłanych przez urządzenia, jak również posiadać możliwość manualnego wysłania pliku (np. poprzez </w:t>
      </w:r>
      <w:proofErr w:type="spellStart"/>
      <w:r w:rsidRPr="00293C9B">
        <w:rPr>
          <w:rFonts w:asciiTheme="minorHAnsi" w:eastAsia="Helvetica Neue Light" w:hAnsiTheme="minorHAnsi" w:cstheme="minorHAnsi"/>
          <w:sz w:val="22"/>
          <w:szCs w:val="22"/>
        </w:rPr>
        <w:t>upload</w:t>
      </w:r>
      <w:proofErr w:type="spellEnd"/>
      <w:r w:rsidRPr="00293C9B">
        <w:rPr>
          <w:rFonts w:asciiTheme="minorHAnsi" w:eastAsia="Helvetica Neue Light" w:hAnsiTheme="minorHAnsi" w:cstheme="minorHAnsi"/>
          <w:sz w:val="22"/>
          <w:szCs w:val="22"/>
        </w:rPr>
        <w:t xml:space="preserve"> przez stronę www) do </w:t>
      </w:r>
      <w:proofErr w:type="spellStart"/>
      <w:r w:rsidRPr="00293C9B">
        <w:rPr>
          <w:rFonts w:asciiTheme="minorHAnsi" w:eastAsia="Helvetica Neue Light" w:hAnsiTheme="minorHAnsi" w:cstheme="minorHAnsi"/>
          <w:sz w:val="22"/>
          <w:szCs w:val="22"/>
        </w:rPr>
        <w:t>sandboxa</w:t>
      </w:r>
      <w:proofErr w:type="spellEnd"/>
      <w:r w:rsidRPr="00293C9B">
        <w:rPr>
          <w:rFonts w:asciiTheme="minorHAnsi" w:eastAsia="Helvetica Neue Light" w:hAnsiTheme="minorHAnsi" w:cstheme="minorHAnsi"/>
          <w:sz w:val="22"/>
          <w:szCs w:val="22"/>
        </w:rPr>
        <w:t>;</w:t>
      </w:r>
    </w:p>
    <w:p w14:paraId="16384036" w14:textId="77777777" w:rsidR="002F4F56" w:rsidRPr="00293C9B" w:rsidRDefault="002F4F56" w:rsidP="00293C9B">
      <w:pPr>
        <w:pStyle w:val="Akapitzlist"/>
        <w:numPr>
          <w:ilvl w:val="1"/>
          <w:numId w:val="31"/>
        </w:numPr>
        <w:tabs>
          <w:tab w:val="left" w:pos="284"/>
        </w:tabs>
        <w:spacing w:after="0" w:line="24" w:lineRule="atLeast"/>
        <w:ind w:left="851"/>
        <w:contextualSpacing w:val="0"/>
        <w:jc w:val="both"/>
        <w:rPr>
          <w:rFonts w:asciiTheme="minorHAnsi" w:hAnsiTheme="minorHAnsi" w:cstheme="minorHAnsi"/>
        </w:rPr>
      </w:pPr>
      <w:r w:rsidRPr="00293C9B">
        <w:rPr>
          <w:rFonts w:asciiTheme="minorHAnsi" w:hAnsiTheme="minorHAnsi" w:cstheme="minorHAnsi"/>
        </w:rPr>
        <w:t xml:space="preserve">dopuszcza się zarówno realizację </w:t>
      </w:r>
      <w:proofErr w:type="spellStart"/>
      <w:r w:rsidRPr="00293C9B">
        <w:rPr>
          <w:rFonts w:asciiTheme="minorHAnsi" w:hAnsiTheme="minorHAnsi" w:cstheme="minorHAnsi"/>
        </w:rPr>
        <w:t>sandboxa</w:t>
      </w:r>
      <w:proofErr w:type="spellEnd"/>
      <w:r w:rsidRPr="00293C9B">
        <w:rPr>
          <w:rFonts w:asciiTheme="minorHAnsi" w:hAnsiTheme="minorHAnsi" w:cstheme="minorHAnsi"/>
        </w:rPr>
        <w:t xml:space="preserve"> w postaci chmury producenta jak i rozwiązania lokalnego. W tym drugim przypadku wymagane jest dostarczenie opisu współpracy proponowanej integracji z dostarczanym firewallem;</w:t>
      </w:r>
    </w:p>
    <w:p w14:paraId="07040B19"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hAnsiTheme="minorHAnsi" w:cstheme="minorHAnsi"/>
          <w:sz w:val="22"/>
          <w:szCs w:val="22"/>
        </w:rPr>
        <w:t xml:space="preserve">bez względu na użyte rozwiązanie, wymaga się wydajności zapewniającej jednoczesną analizę minimum </w:t>
      </w:r>
      <w:sdt>
        <w:sdtPr>
          <w:rPr>
            <w:rFonts w:asciiTheme="minorHAnsi" w:hAnsiTheme="minorHAnsi" w:cstheme="minorHAnsi"/>
            <w:sz w:val="22"/>
            <w:szCs w:val="22"/>
          </w:rPr>
          <w:tag w:val="goog_rdk_13"/>
          <w:id w:val="-976453227"/>
        </w:sdtPr>
        <w:sdtEndPr/>
        <w:sdtContent/>
      </w:sdt>
      <w:sdt>
        <w:sdtPr>
          <w:rPr>
            <w:rFonts w:asciiTheme="minorHAnsi" w:hAnsiTheme="minorHAnsi" w:cstheme="minorHAnsi"/>
            <w:sz w:val="22"/>
            <w:szCs w:val="22"/>
          </w:rPr>
          <w:tag w:val="goog_rdk_14"/>
          <w:id w:val="-1645186108"/>
          <w:showingPlcHdr/>
        </w:sdtPr>
        <w:sdtEndPr/>
        <w:sdtContent>
          <w:r w:rsidRPr="00293C9B">
            <w:rPr>
              <w:rFonts w:asciiTheme="minorHAnsi" w:hAnsiTheme="minorHAnsi" w:cstheme="minorHAnsi"/>
              <w:sz w:val="22"/>
              <w:szCs w:val="22"/>
            </w:rPr>
            <w:t xml:space="preserve">     </w:t>
          </w:r>
        </w:sdtContent>
      </w:sdt>
      <w:r w:rsidRPr="00293C9B">
        <w:rPr>
          <w:rFonts w:asciiTheme="minorHAnsi" w:hAnsiTheme="minorHAnsi" w:cstheme="minorHAnsi"/>
          <w:b/>
          <w:bCs/>
          <w:sz w:val="22"/>
          <w:szCs w:val="22"/>
        </w:rPr>
        <w:t>10 plików/próbek</w:t>
      </w:r>
      <w:r w:rsidRPr="00293C9B">
        <w:rPr>
          <w:rFonts w:asciiTheme="minorHAnsi" w:hAnsiTheme="minorHAnsi" w:cstheme="minorHAnsi"/>
          <w:sz w:val="22"/>
          <w:szCs w:val="22"/>
        </w:rPr>
        <w:t xml:space="preserve"> w tzw. VM </w:t>
      </w:r>
      <w:proofErr w:type="spellStart"/>
      <w:r w:rsidRPr="00293C9B">
        <w:rPr>
          <w:rFonts w:asciiTheme="minorHAnsi" w:hAnsiTheme="minorHAnsi" w:cstheme="minorHAnsi"/>
          <w:sz w:val="22"/>
          <w:szCs w:val="22"/>
        </w:rPr>
        <w:t>Sandboxing</w:t>
      </w:r>
      <w:proofErr w:type="spellEnd"/>
      <w:r w:rsidRPr="00293C9B">
        <w:rPr>
          <w:rFonts w:asciiTheme="minorHAnsi" w:hAnsiTheme="minorHAnsi" w:cstheme="minorHAnsi"/>
          <w:sz w:val="22"/>
          <w:szCs w:val="22"/>
        </w:rPr>
        <w:t xml:space="preserve"> (rozumiana jako realizacja funkcjonalności </w:t>
      </w:r>
      <w:proofErr w:type="spellStart"/>
      <w:r w:rsidRPr="00293C9B">
        <w:rPr>
          <w:rFonts w:asciiTheme="minorHAnsi" w:hAnsiTheme="minorHAnsi" w:cstheme="minorHAnsi"/>
          <w:sz w:val="22"/>
          <w:szCs w:val="22"/>
        </w:rPr>
        <w:t>sandbox</w:t>
      </w:r>
      <w:proofErr w:type="spellEnd"/>
      <w:r w:rsidRPr="00293C9B">
        <w:rPr>
          <w:rFonts w:asciiTheme="minorHAnsi" w:hAnsiTheme="minorHAnsi" w:cstheme="minorHAnsi"/>
          <w:sz w:val="22"/>
          <w:szCs w:val="22"/>
        </w:rPr>
        <w:t xml:space="preserve"> polegająca na wykorzystaniu instancji maszyn wirtualnych z określonymi systemami operacyjnymi i zestawem zainstalowanych aplikacji do zdetonowania/uruchomienia, a następnie analizy podejrzanego pliku pod kątem jego potencjalnie negatywnego wpływu na komputery klienckie lub serwery);</w:t>
      </w:r>
    </w:p>
    <w:p w14:paraId="412A6964"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jednoczesna analiza </w:t>
      </w:r>
      <w:r w:rsidRPr="00293C9B">
        <w:rPr>
          <w:rFonts w:asciiTheme="minorHAnsi" w:eastAsia="Helvetica Neue Light" w:hAnsiTheme="minorHAnsi" w:cstheme="minorHAnsi"/>
          <w:b/>
          <w:bCs/>
          <w:sz w:val="22"/>
          <w:szCs w:val="22"/>
        </w:rPr>
        <w:t>10 próbek/plików</w:t>
      </w:r>
      <w:r w:rsidRPr="00293C9B">
        <w:rPr>
          <w:rFonts w:asciiTheme="minorHAnsi" w:eastAsia="Helvetica Neue Light" w:hAnsiTheme="minorHAnsi" w:cstheme="minorHAnsi"/>
          <w:sz w:val="22"/>
          <w:szCs w:val="22"/>
        </w:rPr>
        <w:t xml:space="preserve"> musi być zapewniona bez względu na to czy pliki te będą wysyłane automatycznie przez firewall czy manualnie przez administratora czy też będzie to mieszana grupa plików pochodząca zarówno bezpośrednio z </w:t>
      </w:r>
      <w:proofErr w:type="spellStart"/>
      <w:r w:rsidRPr="00293C9B">
        <w:rPr>
          <w:rFonts w:asciiTheme="minorHAnsi" w:eastAsia="Helvetica Neue Light" w:hAnsiTheme="minorHAnsi" w:cstheme="minorHAnsi"/>
          <w:sz w:val="22"/>
          <w:szCs w:val="22"/>
        </w:rPr>
        <w:t>firewalla</w:t>
      </w:r>
      <w:proofErr w:type="spellEnd"/>
      <w:r w:rsidRPr="00293C9B">
        <w:rPr>
          <w:rFonts w:asciiTheme="minorHAnsi" w:eastAsia="Helvetica Neue Light" w:hAnsiTheme="minorHAnsi" w:cstheme="minorHAnsi"/>
          <w:sz w:val="22"/>
          <w:szCs w:val="22"/>
        </w:rPr>
        <w:t>, jak też od administratorów.</w:t>
      </w:r>
    </w:p>
    <w:p w14:paraId="1319FAB8"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Podstawowa ochrona DNS co najmniej w zakresie:</w:t>
      </w:r>
    </w:p>
    <w:p w14:paraId="66B43311" w14:textId="77777777" w:rsidR="002F4F56" w:rsidRPr="00293C9B" w:rsidRDefault="002F4F56" w:rsidP="00293C9B">
      <w:pPr>
        <w:numPr>
          <w:ilvl w:val="1"/>
          <w:numId w:val="31"/>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wykrywanie zapytań do domen złośliwych. </w:t>
      </w:r>
      <w:r w:rsidRPr="00293C9B">
        <w:rPr>
          <w:rFonts w:asciiTheme="minorHAnsi" w:hAnsiTheme="minorHAnsi" w:cstheme="minorHAnsi"/>
          <w:sz w:val="22"/>
          <w:szCs w:val="22"/>
          <w:u w:color="FF0000"/>
        </w:rPr>
        <w:t>Baza domen musi mieć co najmniej 10 milionów wpisów;</w:t>
      </w:r>
    </w:p>
    <w:p w14:paraId="2A18054B" w14:textId="77777777" w:rsidR="002F4F56" w:rsidRPr="00293C9B" w:rsidRDefault="002F4F56" w:rsidP="00293C9B">
      <w:pPr>
        <w:numPr>
          <w:ilvl w:val="1"/>
          <w:numId w:val="31"/>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skonfigurowania fałszowania odpowiedzi na zapytania DNS zaklasyfikowane jako niebezpieczne (tzw. DNS </w:t>
      </w:r>
      <w:proofErr w:type="spellStart"/>
      <w:r w:rsidRPr="00293C9B">
        <w:rPr>
          <w:rFonts w:asciiTheme="minorHAnsi" w:hAnsiTheme="minorHAnsi" w:cstheme="minorHAnsi"/>
          <w:sz w:val="22"/>
          <w:szCs w:val="22"/>
        </w:rPr>
        <w:t>sinkholing</w:t>
      </w:r>
      <w:proofErr w:type="spellEnd"/>
      <w:r w:rsidRPr="00293C9B">
        <w:rPr>
          <w:rFonts w:asciiTheme="minorHAnsi" w:hAnsiTheme="minorHAnsi" w:cstheme="minorHAnsi"/>
          <w:sz w:val="22"/>
          <w:szCs w:val="22"/>
        </w:rPr>
        <w:t>).</w:t>
      </w:r>
    </w:p>
    <w:p w14:paraId="768FDA38" w14:textId="77777777" w:rsidR="002F4F56" w:rsidRPr="00293C9B" w:rsidRDefault="002F4F56" w:rsidP="00293C9B">
      <w:pPr>
        <w:spacing w:line="24" w:lineRule="atLeast"/>
        <w:ind w:left="851" w:hanging="360"/>
        <w:jc w:val="both"/>
        <w:rPr>
          <w:rFonts w:asciiTheme="minorHAnsi" w:hAnsiTheme="minorHAnsi" w:cstheme="minorHAnsi"/>
          <w:b/>
          <w:bCs/>
          <w:sz w:val="22"/>
          <w:szCs w:val="22"/>
        </w:rPr>
      </w:pPr>
    </w:p>
    <w:p w14:paraId="07B39D98"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lastRenderedPageBreak/>
        <w:t>Deszyfracja ruchu</w:t>
      </w:r>
    </w:p>
    <w:p w14:paraId="10B17E74" w14:textId="77777777" w:rsidR="002F4F56" w:rsidRPr="00293C9B" w:rsidRDefault="002F4F56" w:rsidP="00293C9B">
      <w:pPr>
        <w:spacing w:line="24" w:lineRule="atLeast"/>
        <w:jc w:val="both"/>
        <w:rPr>
          <w:rFonts w:asciiTheme="minorHAnsi" w:hAnsiTheme="minorHAnsi" w:cstheme="minorHAnsi"/>
          <w:sz w:val="22"/>
          <w:szCs w:val="22"/>
        </w:rPr>
      </w:pPr>
    </w:p>
    <w:p w14:paraId="044CDE65" w14:textId="77777777" w:rsidR="002F4F56" w:rsidRPr="00293C9B" w:rsidRDefault="002F4F56" w:rsidP="00293C9B">
      <w:pPr>
        <w:pStyle w:val="Akapitzlist"/>
        <w:numPr>
          <w:ilvl w:val="0"/>
          <w:numId w:val="32"/>
        </w:numPr>
        <w:spacing w:after="0" w:line="24" w:lineRule="atLeast"/>
        <w:contextualSpacing w:val="0"/>
        <w:jc w:val="both"/>
        <w:rPr>
          <w:rFonts w:asciiTheme="minorHAnsi" w:eastAsia="Times New Roman" w:hAnsiTheme="minorHAnsi" w:cstheme="minorHAnsi"/>
        </w:rPr>
      </w:pPr>
      <w:r w:rsidRPr="00293C9B">
        <w:rPr>
          <w:rFonts w:asciiTheme="minorHAnsi" w:eastAsia="Times New Roman" w:hAnsiTheme="minorHAnsi" w:cstheme="minorHAnsi"/>
        </w:rPr>
        <w:t>Rozwiązanie musi posiadać funkcjonalność deszyfracji wychodzących połączeń SSL/TLS na wszystkich portach, wskazanych w polityce deszyfracji oraz deszyfracji wychodzących połączeń typu STARTTLS (Wymagane wsparcie co najmniej dla TLSv1.1, TLSv1.2 i TLSv1.3).</w:t>
      </w:r>
    </w:p>
    <w:p w14:paraId="5C828D30" w14:textId="77777777" w:rsidR="002F4F56" w:rsidRPr="00293C9B" w:rsidRDefault="002F4F56" w:rsidP="00293C9B">
      <w:pPr>
        <w:spacing w:line="24" w:lineRule="atLeast"/>
        <w:jc w:val="both"/>
        <w:rPr>
          <w:rFonts w:asciiTheme="minorHAnsi" w:hAnsiTheme="minorHAnsi" w:cstheme="minorHAnsi"/>
          <w:b/>
          <w:bCs/>
          <w:sz w:val="22"/>
          <w:szCs w:val="22"/>
        </w:rPr>
      </w:pPr>
    </w:p>
    <w:p w14:paraId="176F4D58"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Obsługa VPN oraz funkcji sieciowych</w:t>
      </w:r>
    </w:p>
    <w:p w14:paraId="23F6F9D2" w14:textId="77777777" w:rsidR="002F4F56" w:rsidRPr="00293C9B" w:rsidRDefault="002F4F56" w:rsidP="00293C9B">
      <w:pPr>
        <w:spacing w:line="24" w:lineRule="atLeast"/>
        <w:jc w:val="both"/>
        <w:rPr>
          <w:rFonts w:asciiTheme="minorHAnsi" w:hAnsiTheme="minorHAnsi" w:cstheme="minorHAnsi"/>
          <w:sz w:val="22"/>
          <w:szCs w:val="22"/>
        </w:rPr>
      </w:pPr>
    </w:p>
    <w:p w14:paraId="54DAA064" w14:textId="77777777" w:rsidR="002F4F56" w:rsidRPr="00293C9B" w:rsidRDefault="002F4F56" w:rsidP="00293C9B">
      <w:pPr>
        <w:numPr>
          <w:ilvl w:val="0"/>
          <w:numId w:val="33"/>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Zestawianie tuneli VPN w oparciu o standardy </w:t>
      </w:r>
      <w:proofErr w:type="spellStart"/>
      <w:r w:rsidRPr="00293C9B">
        <w:rPr>
          <w:rFonts w:asciiTheme="minorHAnsi" w:hAnsiTheme="minorHAnsi" w:cstheme="minorHAnsi"/>
          <w:sz w:val="22"/>
          <w:szCs w:val="22"/>
        </w:rPr>
        <w:t>IPSec</w:t>
      </w:r>
      <w:proofErr w:type="spellEnd"/>
      <w:r w:rsidRPr="00293C9B">
        <w:rPr>
          <w:rFonts w:asciiTheme="minorHAnsi" w:hAnsiTheme="minorHAnsi" w:cstheme="minorHAnsi"/>
          <w:sz w:val="22"/>
          <w:szCs w:val="22"/>
        </w:rPr>
        <w:t xml:space="preserve"> i IKE w konfiguracji </w:t>
      </w:r>
      <w:proofErr w:type="spellStart"/>
      <w:r w:rsidRPr="00293C9B">
        <w:rPr>
          <w:rFonts w:asciiTheme="minorHAnsi" w:hAnsiTheme="minorHAnsi" w:cstheme="minorHAnsi"/>
          <w:sz w:val="22"/>
          <w:szCs w:val="22"/>
        </w:rPr>
        <w:t>site</w:t>
      </w:r>
      <w:proofErr w:type="spellEnd"/>
      <w:r w:rsidRPr="00293C9B">
        <w:rPr>
          <w:rFonts w:asciiTheme="minorHAnsi" w:hAnsiTheme="minorHAnsi" w:cstheme="minorHAnsi"/>
          <w:sz w:val="22"/>
          <w:szCs w:val="22"/>
        </w:rPr>
        <w:t>-to-</w:t>
      </w:r>
      <w:proofErr w:type="spellStart"/>
      <w:r w:rsidRPr="00293C9B">
        <w:rPr>
          <w:rFonts w:asciiTheme="minorHAnsi" w:hAnsiTheme="minorHAnsi" w:cstheme="minorHAnsi"/>
          <w:sz w:val="22"/>
          <w:szCs w:val="22"/>
        </w:rPr>
        <w:t>site</w:t>
      </w:r>
      <w:proofErr w:type="spellEnd"/>
      <w:r w:rsidRPr="00293C9B">
        <w:rPr>
          <w:rFonts w:asciiTheme="minorHAnsi" w:hAnsiTheme="minorHAnsi" w:cstheme="minorHAnsi"/>
          <w:sz w:val="22"/>
          <w:szCs w:val="22"/>
        </w:rPr>
        <w:t xml:space="preserve">. </w:t>
      </w:r>
    </w:p>
    <w:p w14:paraId="6247F185" w14:textId="77777777" w:rsidR="002F4F56" w:rsidRPr="00293C9B" w:rsidRDefault="002F4F56" w:rsidP="00293C9B">
      <w:pPr>
        <w:numPr>
          <w:ilvl w:val="0"/>
          <w:numId w:val="33"/>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Zestawianie tuneli SSL VPN w konfiguracji </w:t>
      </w:r>
      <w:proofErr w:type="spellStart"/>
      <w:r w:rsidRPr="00293C9B">
        <w:rPr>
          <w:rFonts w:asciiTheme="minorHAnsi" w:hAnsiTheme="minorHAnsi" w:cstheme="minorHAnsi"/>
          <w:sz w:val="22"/>
          <w:szCs w:val="22"/>
        </w:rPr>
        <w:t>remote</w:t>
      </w:r>
      <w:proofErr w:type="spellEnd"/>
      <w:r w:rsidRPr="00293C9B">
        <w:rPr>
          <w:rFonts w:asciiTheme="minorHAnsi" w:hAnsiTheme="minorHAnsi" w:cstheme="minorHAnsi"/>
          <w:sz w:val="22"/>
          <w:szCs w:val="22"/>
        </w:rPr>
        <w:t>-</w:t>
      </w:r>
      <w:proofErr w:type="spellStart"/>
      <w:r w:rsidRPr="00293C9B">
        <w:rPr>
          <w:rFonts w:asciiTheme="minorHAnsi" w:hAnsiTheme="minorHAnsi" w:cstheme="minorHAnsi"/>
          <w:sz w:val="22"/>
          <w:szCs w:val="22"/>
        </w:rPr>
        <w:t>access</w:t>
      </w:r>
      <w:proofErr w:type="spellEnd"/>
      <w:r w:rsidRPr="00293C9B">
        <w:rPr>
          <w:rFonts w:asciiTheme="minorHAnsi" w:hAnsiTheme="minorHAnsi" w:cstheme="minorHAnsi"/>
          <w:sz w:val="22"/>
          <w:szCs w:val="22"/>
        </w:rPr>
        <w:t xml:space="preserve">-VPN. </w:t>
      </w:r>
    </w:p>
    <w:p w14:paraId="7D09694F"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Wymagane jest zestawienie tuneli z wykorzystaniem klienta VPN dostarczanego przez producenta urządzenia NGFW- obsługa </w:t>
      </w:r>
      <w:r w:rsidRPr="00293C9B">
        <w:rPr>
          <w:rFonts w:asciiTheme="minorHAnsi" w:hAnsiTheme="minorHAnsi" w:cstheme="minorHAnsi"/>
          <w:b/>
          <w:bCs/>
          <w:sz w:val="22"/>
          <w:szCs w:val="22"/>
        </w:rPr>
        <w:t>co najmniej 1000 tuneli/użytkowników</w:t>
      </w:r>
      <w:r w:rsidRPr="00293C9B">
        <w:rPr>
          <w:rFonts w:asciiTheme="minorHAnsi" w:hAnsiTheme="minorHAnsi" w:cstheme="minorHAnsi"/>
          <w:sz w:val="22"/>
          <w:szCs w:val="22"/>
        </w:rPr>
        <w:t xml:space="preserve">. </w:t>
      </w:r>
    </w:p>
    <w:p w14:paraId="6D19EE69"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Oprogramowanie klienta VPN musi być dostępne co najmniej dla Windows i </w:t>
      </w:r>
      <w:proofErr w:type="spellStart"/>
      <w:r w:rsidRPr="00293C9B">
        <w:rPr>
          <w:rFonts w:asciiTheme="minorHAnsi" w:hAnsiTheme="minorHAnsi" w:cstheme="minorHAnsi"/>
          <w:sz w:val="22"/>
          <w:szCs w:val="22"/>
        </w:rPr>
        <w:t>MacOS</w:t>
      </w:r>
      <w:proofErr w:type="spellEnd"/>
      <w:r w:rsidRPr="00293C9B">
        <w:rPr>
          <w:rFonts w:asciiTheme="minorHAnsi" w:hAnsiTheme="minorHAnsi" w:cstheme="minorHAnsi"/>
          <w:sz w:val="22"/>
          <w:szCs w:val="22"/>
        </w:rPr>
        <w:t xml:space="preserve"> </w:t>
      </w:r>
    </w:p>
    <w:p w14:paraId="16DC35F2"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Oprogramowanie klienta VPN musi być objęte wsparciem producenta w okresie zgodnym z długością wsparcia </w:t>
      </w:r>
      <w:proofErr w:type="spellStart"/>
      <w:r w:rsidRPr="00293C9B">
        <w:rPr>
          <w:rFonts w:asciiTheme="minorHAnsi" w:hAnsiTheme="minorHAnsi" w:cstheme="minorHAnsi"/>
          <w:sz w:val="22"/>
          <w:szCs w:val="22"/>
        </w:rPr>
        <w:t>firewalla</w:t>
      </w:r>
      <w:proofErr w:type="spellEnd"/>
      <w:r w:rsidRPr="00293C9B">
        <w:rPr>
          <w:rFonts w:asciiTheme="minorHAnsi" w:hAnsiTheme="minorHAnsi" w:cstheme="minorHAnsi"/>
          <w:sz w:val="22"/>
          <w:szCs w:val="22"/>
        </w:rPr>
        <w:t>.</w:t>
      </w:r>
    </w:p>
    <w:p w14:paraId="190E4BE0"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Jeżeli oprogramowanie klienta jest dodatkowo licencjonowane przez producenta wówczas należy przewidzieć je dla </w:t>
      </w:r>
      <w:r w:rsidRPr="00293C9B">
        <w:rPr>
          <w:rFonts w:asciiTheme="minorHAnsi" w:hAnsiTheme="minorHAnsi" w:cstheme="minorHAnsi"/>
          <w:b/>
          <w:bCs/>
          <w:sz w:val="22"/>
          <w:szCs w:val="22"/>
        </w:rPr>
        <w:t>3000 użytkowników/urządzeń</w:t>
      </w:r>
      <w:r w:rsidRPr="00293C9B">
        <w:rPr>
          <w:rFonts w:asciiTheme="minorHAnsi" w:hAnsiTheme="minorHAnsi" w:cstheme="minorHAnsi"/>
          <w:sz w:val="22"/>
          <w:szCs w:val="22"/>
        </w:rPr>
        <w:t xml:space="preserve"> oraz zapewnić możliwość  licencyjnej rozbudowy </w:t>
      </w:r>
      <w:r w:rsidRPr="00293C9B">
        <w:rPr>
          <w:rFonts w:asciiTheme="minorHAnsi" w:hAnsiTheme="minorHAnsi" w:cstheme="minorHAnsi"/>
          <w:b/>
          <w:bCs/>
          <w:sz w:val="22"/>
          <w:szCs w:val="22"/>
        </w:rPr>
        <w:t>do 5000</w:t>
      </w:r>
      <w:r w:rsidRPr="00293C9B">
        <w:rPr>
          <w:rFonts w:asciiTheme="minorHAnsi" w:hAnsiTheme="minorHAnsi" w:cstheme="minorHAnsi"/>
          <w:sz w:val="22"/>
          <w:szCs w:val="22"/>
        </w:rPr>
        <w:t>.</w:t>
      </w:r>
    </w:p>
    <w:p w14:paraId="54818460"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Obsługa protokołów routingu: OSPFv2 i OSPFv3, BGP4;</w:t>
      </w:r>
    </w:p>
    <w:p w14:paraId="07C032F7"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Obsługa 4094 VLAN zgodnych z 802.1q. </w:t>
      </w:r>
    </w:p>
    <w:p w14:paraId="736FEA45"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Obsługa tworzenia </w:t>
      </w:r>
      <w:proofErr w:type="spellStart"/>
      <w:r w:rsidRPr="00293C9B">
        <w:rPr>
          <w:rFonts w:asciiTheme="minorHAnsi" w:hAnsiTheme="minorHAnsi" w:cstheme="minorHAnsi"/>
          <w:sz w:val="22"/>
          <w:szCs w:val="22"/>
        </w:rPr>
        <w:t>subinterfejsów</w:t>
      </w:r>
      <w:proofErr w:type="spellEnd"/>
      <w:r w:rsidRPr="00293C9B">
        <w:rPr>
          <w:rFonts w:asciiTheme="minorHAnsi" w:hAnsiTheme="minorHAnsi" w:cstheme="minorHAnsi"/>
          <w:sz w:val="22"/>
          <w:szCs w:val="22"/>
        </w:rPr>
        <w:t xml:space="preserve"> na interfejsach pracujących w L2 i L3.</w:t>
      </w:r>
    </w:p>
    <w:p w14:paraId="277B5047"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Obsługa stref bezpieczeństwa symbolizujących np. WAN, LAN, DMZ, interfejsy fizyczne, </w:t>
      </w:r>
      <w:proofErr w:type="spellStart"/>
      <w:r w:rsidRPr="00293C9B">
        <w:rPr>
          <w:rFonts w:asciiTheme="minorHAnsi" w:hAnsiTheme="minorHAnsi" w:cstheme="minorHAnsi"/>
          <w:sz w:val="22"/>
          <w:szCs w:val="22"/>
        </w:rPr>
        <w:t>subinterfejsy</w:t>
      </w:r>
      <w:proofErr w:type="spellEnd"/>
      <w:r w:rsidRPr="00293C9B">
        <w:rPr>
          <w:rFonts w:asciiTheme="minorHAnsi" w:hAnsiTheme="minorHAnsi" w:cstheme="minorHAnsi"/>
          <w:sz w:val="22"/>
          <w:szCs w:val="22"/>
        </w:rPr>
        <w:t xml:space="preserve"> L2 i L3 – jako nazwane strefy, na bazie których można budować polityki bezpieczeństwa przy regulacji ruchu pomiędzy strefami.</w:t>
      </w:r>
    </w:p>
    <w:p w14:paraId="40C38D55"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Translacja adresów IP (NAT) zarówno statyczna jak i dynamiczna. Reguły dotyczące NAT muszą być odrębne od reguł definiujących polityki bezpieczeństwa tak, aby reguły dotyczące translacji nie powodowały w żaden sposób zależności od konfiguracji tych polityk.</w:t>
      </w:r>
    </w:p>
    <w:p w14:paraId="2911D20B"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Zarządzanie pasmem sieci (</w:t>
      </w:r>
      <w:proofErr w:type="spellStart"/>
      <w:r w:rsidRPr="00293C9B">
        <w:rPr>
          <w:rFonts w:asciiTheme="minorHAnsi" w:hAnsiTheme="minorHAnsi" w:cstheme="minorHAnsi"/>
          <w:sz w:val="22"/>
          <w:szCs w:val="22"/>
        </w:rPr>
        <w:t>QoS</w:t>
      </w:r>
      <w:proofErr w:type="spellEnd"/>
      <w:r w:rsidRPr="00293C9B">
        <w:rPr>
          <w:rFonts w:asciiTheme="minorHAnsi" w:hAnsiTheme="minorHAnsi" w:cstheme="minorHAnsi"/>
          <w:sz w:val="22"/>
          <w:szCs w:val="22"/>
        </w:rPr>
        <w:t xml:space="preserve">) w zakresie ustawiania dla dowolnych aplikacji priorytetu, pasma maksymalnego i gwarantowanego. Przydzielanie takiej samej klasy </w:t>
      </w:r>
      <w:proofErr w:type="spellStart"/>
      <w:r w:rsidRPr="00293C9B">
        <w:rPr>
          <w:rFonts w:asciiTheme="minorHAnsi" w:hAnsiTheme="minorHAnsi" w:cstheme="minorHAnsi"/>
          <w:sz w:val="22"/>
          <w:szCs w:val="22"/>
        </w:rPr>
        <w:t>QoS</w:t>
      </w:r>
      <w:proofErr w:type="spellEnd"/>
      <w:r w:rsidRPr="00293C9B">
        <w:rPr>
          <w:rFonts w:asciiTheme="minorHAnsi" w:hAnsiTheme="minorHAnsi" w:cstheme="minorHAnsi"/>
          <w:sz w:val="22"/>
          <w:szCs w:val="22"/>
        </w:rPr>
        <w:t xml:space="preserve"> dla ruchu wychodzącego i przychodzącego. </w:t>
      </w:r>
    </w:p>
    <w:p w14:paraId="2BB3B382"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Inspekcja szyfrowanej komunikacji SSH (</w:t>
      </w:r>
      <w:proofErr w:type="spellStart"/>
      <w:r w:rsidRPr="00293C9B">
        <w:rPr>
          <w:rFonts w:asciiTheme="minorHAnsi" w:hAnsiTheme="minorHAnsi" w:cstheme="minorHAnsi"/>
          <w:sz w:val="22"/>
          <w:szCs w:val="22"/>
        </w:rPr>
        <w:t>Secure</w:t>
      </w:r>
      <w:proofErr w:type="spellEnd"/>
      <w:r w:rsidRPr="00293C9B">
        <w:rPr>
          <w:rFonts w:asciiTheme="minorHAnsi" w:hAnsiTheme="minorHAnsi" w:cstheme="minorHAnsi"/>
          <w:sz w:val="22"/>
          <w:szCs w:val="22"/>
        </w:rPr>
        <w:t xml:space="preserve"> Shell) w celu wykrywania tunelowania innych protokołów w ramach usługi SSH). </w:t>
      </w:r>
    </w:p>
    <w:p w14:paraId="48B3C07B" w14:textId="77777777" w:rsidR="002F4F56" w:rsidRPr="00293C9B" w:rsidRDefault="002F4F56" w:rsidP="00293C9B">
      <w:pPr>
        <w:spacing w:line="24" w:lineRule="atLeast"/>
        <w:jc w:val="both"/>
        <w:rPr>
          <w:rFonts w:asciiTheme="minorHAnsi" w:hAnsiTheme="minorHAnsi" w:cstheme="minorHAnsi"/>
          <w:i/>
          <w:iCs/>
          <w:sz w:val="22"/>
          <w:szCs w:val="22"/>
        </w:rPr>
      </w:pPr>
    </w:p>
    <w:p w14:paraId="32EC005B"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Uwierzytelnienie i ustalanie tożsamości użytkowników</w:t>
      </w:r>
    </w:p>
    <w:p w14:paraId="22D67C73" w14:textId="77777777" w:rsidR="002F4F56" w:rsidRPr="00293C9B" w:rsidRDefault="002F4F56" w:rsidP="00293C9B">
      <w:pPr>
        <w:spacing w:line="24" w:lineRule="atLeast"/>
        <w:jc w:val="both"/>
        <w:rPr>
          <w:rFonts w:asciiTheme="minorHAnsi" w:hAnsiTheme="minorHAnsi" w:cstheme="minorHAnsi"/>
          <w:i/>
          <w:iCs/>
          <w:sz w:val="22"/>
          <w:szCs w:val="22"/>
        </w:rPr>
      </w:pPr>
    </w:p>
    <w:p w14:paraId="19711601" w14:textId="77777777" w:rsidR="002F4F56" w:rsidRPr="00293C9B" w:rsidRDefault="002F4F56" w:rsidP="00293C9B">
      <w:pPr>
        <w:numPr>
          <w:ilvl w:val="0"/>
          <w:numId w:val="34"/>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Transparentne ustalenie tożsamości w oparciu o:</w:t>
      </w:r>
    </w:p>
    <w:p w14:paraId="2265F01E"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integrację z kontrolerem domeny Active Directory;</w:t>
      </w:r>
    </w:p>
    <w:p w14:paraId="3BB97AE0"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integracji z serwerami LDAP;</w:t>
      </w:r>
    </w:p>
    <w:p w14:paraId="55ABC442"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integracji z serwerami terminalowymi;</w:t>
      </w:r>
    </w:p>
    <w:p w14:paraId="3994EC7F"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integracji bazującej na informacji z logów SYSLOG lub RADIUS pozwalającej na uwierzytelnienie użytkowników korzystających z systemów UNIX;</w:t>
      </w:r>
    </w:p>
    <w:p w14:paraId="214199C8" w14:textId="77777777" w:rsidR="002F4F56" w:rsidRPr="00293C9B" w:rsidRDefault="002F4F56" w:rsidP="00293C9B">
      <w:pPr>
        <w:numPr>
          <w:ilvl w:val="0"/>
          <w:numId w:val="34"/>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Firewall musi posiadać możliwość wymuszenia w procesie uwierzytelniania użytkownika podania przez niego drugiego czynnika uwierzytelniającego (tzw. MFA) w celu ochrony kluczowych systemów przed kradzieżą poświadczeń. </w:t>
      </w:r>
    </w:p>
    <w:p w14:paraId="6CB558BB" w14:textId="77777777" w:rsidR="002F4F56" w:rsidRPr="00293C9B" w:rsidRDefault="002F4F56" w:rsidP="00293C9B">
      <w:pPr>
        <w:numPr>
          <w:ilvl w:val="0"/>
          <w:numId w:val="34"/>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Uwierzytelnianie administratorów NGFW za pomocą:</w:t>
      </w:r>
    </w:p>
    <w:p w14:paraId="0419FE4A"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bazy lokalnej;</w:t>
      </w:r>
    </w:p>
    <w:p w14:paraId="743D1633"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zewnętrznej usługi katalogowej dostępnej po LDAPS;</w:t>
      </w:r>
    </w:p>
    <w:p w14:paraId="6689A101"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RADIUS lub TACACS+.</w:t>
      </w:r>
    </w:p>
    <w:p w14:paraId="48F29494" w14:textId="77777777" w:rsidR="002F4F56" w:rsidRPr="00293C9B" w:rsidRDefault="002F4F56" w:rsidP="00293C9B">
      <w:pPr>
        <w:spacing w:line="24" w:lineRule="atLeast"/>
        <w:jc w:val="both"/>
        <w:rPr>
          <w:rFonts w:asciiTheme="minorHAnsi" w:hAnsiTheme="minorHAnsi" w:cstheme="minorHAnsi"/>
          <w:b/>
          <w:bCs/>
          <w:sz w:val="22"/>
          <w:szCs w:val="22"/>
        </w:rPr>
      </w:pPr>
    </w:p>
    <w:p w14:paraId="1D3ADD37"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Zarządzenie urządzeniami NGFW</w:t>
      </w:r>
    </w:p>
    <w:p w14:paraId="5B980CE1" w14:textId="77777777" w:rsidR="002F4F56" w:rsidRPr="00293C9B" w:rsidRDefault="002F4F56" w:rsidP="00293C9B">
      <w:pPr>
        <w:numPr>
          <w:ilvl w:val="0"/>
          <w:numId w:val="35"/>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lastRenderedPageBreak/>
        <w:t>Monitorowanie oraz podstawowe zarządzanie muszą być możliwe z linii poleceń (CLI) oraz przez Interfejs graficzny (GUI) realizowany przez przeglądarkę lub dedykowanego klienta instalowanego na stacji roboczej administratora – bez konieczności korzystania z centralnych narzędzi zarządzania.</w:t>
      </w:r>
    </w:p>
    <w:p w14:paraId="7332ED46" w14:textId="77777777" w:rsidR="002F4F56" w:rsidRPr="00293C9B" w:rsidRDefault="002F4F56" w:rsidP="00293C9B">
      <w:pPr>
        <w:numPr>
          <w:ilvl w:val="0"/>
          <w:numId w:val="35"/>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Eksportowanie logów do zewnętrznych serwerów zgodnych z protokołem </w:t>
      </w:r>
      <w:proofErr w:type="spellStart"/>
      <w:r w:rsidRPr="00293C9B">
        <w:rPr>
          <w:rFonts w:asciiTheme="minorHAnsi" w:hAnsiTheme="minorHAnsi" w:cstheme="minorHAnsi"/>
          <w:sz w:val="22"/>
          <w:szCs w:val="22"/>
        </w:rPr>
        <w:t>Syslog</w:t>
      </w:r>
      <w:proofErr w:type="spellEnd"/>
      <w:r w:rsidRPr="00293C9B">
        <w:rPr>
          <w:rFonts w:asciiTheme="minorHAnsi" w:hAnsiTheme="minorHAnsi" w:cstheme="minorHAnsi"/>
          <w:sz w:val="22"/>
          <w:szCs w:val="22"/>
        </w:rPr>
        <w:t xml:space="preserve">. </w:t>
      </w:r>
    </w:p>
    <w:p w14:paraId="03C598F5" w14:textId="77777777" w:rsidR="002F4F56" w:rsidRPr="00293C9B" w:rsidRDefault="002F4F56" w:rsidP="00293C9B">
      <w:pPr>
        <w:numPr>
          <w:ilvl w:val="0"/>
          <w:numId w:val="35"/>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Praca na NGFW odbywa się na konfiguracji kandydackiej, a nie aktywnej. Zmiany w całości konfiguracji aktywnej odbywają się poprzez zatwierdzanie zmian (ang. </w:t>
      </w:r>
      <w:proofErr w:type="spellStart"/>
      <w:r w:rsidRPr="00293C9B">
        <w:rPr>
          <w:rFonts w:asciiTheme="minorHAnsi" w:hAnsiTheme="minorHAnsi" w:cstheme="minorHAnsi"/>
          <w:sz w:val="22"/>
          <w:szCs w:val="22"/>
        </w:rPr>
        <w:t>Commit</w:t>
      </w:r>
      <w:proofErr w:type="spellEnd"/>
      <w:r w:rsidRPr="00293C9B">
        <w:rPr>
          <w:rFonts w:asciiTheme="minorHAnsi" w:hAnsiTheme="minorHAnsi" w:cstheme="minorHAnsi"/>
          <w:sz w:val="22"/>
          <w:szCs w:val="22"/>
        </w:rPr>
        <w:t>). Przed zatwierdzaniem zmian musi być możliwość przejrzenia zmian, które zostały wykonane na konfiguracji kandydackiej. Musi istnieć możliwość porównania zmian (m.in. polityk, konfiguracji interfejsów, routingu itp.), ze wcześniejszymi wersjami konfiguracji. Funkcja ta musi być dostępna z CLI i z GUI.</w:t>
      </w:r>
    </w:p>
    <w:p w14:paraId="4E89B2AA" w14:textId="77777777" w:rsidR="002F4F56" w:rsidRPr="00293C9B" w:rsidRDefault="002F4F56" w:rsidP="00293C9B">
      <w:pPr>
        <w:spacing w:line="24" w:lineRule="atLeast"/>
        <w:jc w:val="both"/>
        <w:rPr>
          <w:rFonts w:asciiTheme="minorHAnsi" w:hAnsiTheme="minorHAnsi" w:cstheme="minorHAnsi"/>
          <w:sz w:val="22"/>
          <w:szCs w:val="22"/>
        </w:rPr>
      </w:pPr>
    </w:p>
    <w:p w14:paraId="1397FE6D"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Interpretacja parametrów wydajnościowych NGFW</w:t>
      </w:r>
    </w:p>
    <w:p w14:paraId="490846D5" w14:textId="77777777" w:rsidR="002F4F56" w:rsidRPr="00293C9B" w:rsidRDefault="002F4F56" w:rsidP="00293C9B">
      <w:pPr>
        <w:spacing w:line="24" w:lineRule="atLeast"/>
        <w:jc w:val="both"/>
        <w:rPr>
          <w:rFonts w:asciiTheme="minorHAnsi" w:hAnsiTheme="minorHAnsi" w:cstheme="minorHAnsi"/>
          <w:sz w:val="22"/>
          <w:szCs w:val="22"/>
        </w:rPr>
      </w:pPr>
    </w:p>
    <w:p w14:paraId="5D922BCC" w14:textId="77777777" w:rsidR="002F4F56" w:rsidRPr="00293C9B" w:rsidRDefault="002F4F56" w:rsidP="00293C9B">
      <w:pPr>
        <w:numPr>
          <w:ilvl w:val="0"/>
          <w:numId w:val="20"/>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Interpretacja parametrów wydajnościowych dla Firewall/kontroli aplikacji - rozwiązanie pozwoli na:</w:t>
      </w:r>
    </w:p>
    <w:p w14:paraId="4BA729D2"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wykrycie aplikacji,</w:t>
      </w:r>
    </w:p>
    <w:p w14:paraId="66FC28AA"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przydzielenie do niej polityki bezpieczeństwa w tym przypisanie uprawnień użytkownikom do korzystania z określonych aplikacji sieciowych.</w:t>
      </w:r>
    </w:p>
    <w:p w14:paraId="72B0F79E" w14:textId="77777777" w:rsidR="002F4F56" w:rsidRPr="00293C9B" w:rsidRDefault="002F4F56" w:rsidP="00293C9B">
      <w:p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 </w:t>
      </w:r>
    </w:p>
    <w:p w14:paraId="0A185DE4" w14:textId="77777777" w:rsidR="002F4F56" w:rsidRPr="00293C9B" w:rsidRDefault="002F4F56" w:rsidP="00293C9B">
      <w:pPr>
        <w:numPr>
          <w:ilvl w:val="0"/>
          <w:numId w:val="20"/>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Interpretacja parametrów wydajnościowych dla Firewall/kontroli aplikacji/IPS/Antywirus/</w:t>
      </w:r>
      <w:proofErr w:type="spellStart"/>
      <w:r w:rsidRPr="00293C9B">
        <w:rPr>
          <w:rFonts w:asciiTheme="minorHAnsi" w:hAnsiTheme="minorHAnsi" w:cstheme="minorHAnsi"/>
          <w:sz w:val="22"/>
          <w:szCs w:val="22"/>
        </w:rPr>
        <w:t>Antymalware</w:t>
      </w:r>
      <w:proofErr w:type="spellEnd"/>
      <w:r w:rsidRPr="00293C9B">
        <w:rPr>
          <w:rFonts w:asciiTheme="minorHAnsi" w:hAnsiTheme="minorHAnsi" w:cstheme="minorHAnsi"/>
          <w:sz w:val="22"/>
          <w:szCs w:val="22"/>
        </w:rPr>
        <w:t xml:space="preserve"> - rozwiązanie pozwoli na: </w:t>
      </w:r>
    </w:p>
    <w:p w14:paraId="63D6A01C" w14:textId="77777777" w:rsidR="002F4F56" w:rsidRPr="00293C9B" w:rsidRDefault="002F4F56" w:rsidP="00293C9B">
      <w:pPr>
        <w:spacing w:line="24" w:lineRule="atLeast"/>
        <w:ind w:left="284"/>
        <w:jc w:val="both"/>
        <w:rPr>
          <w:rFonts w:asciiTheme="minorHAnsi" w:hAnsiTheme="minorHAnsi" w:cstheme="minorHAnsi"/>
          <w:sz w:val="22"/>
          <w:szCs w:val="22"/>
        </w:rPr>
      </w:pPr>
    </w:p>
    <w:p w14:paraId="3BC9396C"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wykrycie aplikacji, </w:t>
      </w:r>
    </w:p>
    <w:p w14:paraId="31ACC99D"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przydzielenie do niej polityki bezpieczeństwa obejmującej przypisanie uprawnień użytkownikom do korzystania z określonych aplikacji sieciowych,</w:t>
      </w:r>
    </w:p>
    <w:p w14:paraId="4CBF5CA8"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inspekcje IPS całego ruchu,</w:t>
      </w:r>
    </w:p>
    <w:p w14:paraId="645283F4"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inspekcję antywirusową całego ruchu,</w:t>
      </w:r>
    </w:p>
    <w:p w14:paraId="4C9D0932"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inspekcję </w:t>
      </w:r>
      <w:proofErr w:type="spellStart"/>
      <w:r w:rsidRPr="00293C9B">
        <w:rPr>
          <w:rFonts w:asciiTheme="minorHAnsi" w:hAnsiTheme="minorHAnsi" w:cstheme="minorHAnsi"/>
          <w:sz w:val="22"/>
          <w:szCs w:val="22"/>
        </w:rPr>
        <w:t>antymalware</w:t>
      </w:r>
      <w:proofErr w:type="spellEnd"/>
      <w:r w:rsidRPr="00293C9B">
        <w:rPr>
          <w:rFonts w:asciiTheme="minorHAnsi" w:hAnsiTheme="minorHAnsi" w:cstheme="minorHAnsi"/>
          <w:sz w:val="22"/>
          <w:szCs w:val="22"/>
        </w:rPr>
        <w:t>/</w:t>
      </w:r>
      <w:proofErr w:type="spellStart"/>
      <w:r w:rsidRPr="00293C9B">
        <w:rPr>
          <w:rFonts w:asciiTheme="minorHAnsi" w:hAnsiTheme="minorHAnsi" w:cstheme="minorHAnsi"/>
          <w:sz w:val="22"/>
          <w:szCs w:val="22"/>
        </w:rPr>
        <w:t>AntySpyware</w:t>
      </w:r>
      <w:proofErr w:type="spellEnd"/>
      <w:r w:rsidRPr="00293C9B">
        <w:rPr>
          <w:rFonts w:asciiTheme="minorHAnsi" w:hAnsiTheme="minorHAnsi" w:cstheme="minorHAnsi"/>
          <w:sz w:val="22"/>
          <w:szCs w:val="22"/>
        </w:rPr>
        <w:t xml:space="preserve"> całego ruchu,</w:t>
      </w:r>
    </w:p>
    <w:p w14:paraId="3F76B009"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przesyłanie plików do </w:t>
      </w:r>
      <w:proofErr w:type="spellStart"/>
      <w:r w:rsidRPr="00293C9B">
        <w:rPr>
          <w:rFonts w:asciiTheme="minorHAnsi" w:hAnsiTheme="minorHAnsi" w:cstheme="minorHAnsi"/>
          <w:sz w:val="22"/>
          <w:szCs w:val="22"/>
        </w:rPr>
        <w:t>sandboxa</w:t>
      </w:r>
      <w:proofErr w:type="spellEnd"/>
      <w:r w:rsidRPr="00293C9B">
        <w:rPr>
          <w:rFonts w:asciiTheme="minorHAnsi" w:hAnsiTheme="minorHAnsi" w:cstheme="minorHAnsi"/>
          <w:sz w:val="22"/>
          <w:szCs w:val="22"/>
        </w:rPr>
        <w:t xml:space="preserve"> lokalnego i/lub chmurowego,</w:t>
      </w:r>
    </w:p>
    <w:p w14:paraId="474C2030"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przechwytywanie i blokowanie plików określonego typu.</w:t>
      </w:r>
    </w:p>
    <w:p w14:paraId="4E7B9FE3"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Logowanie zdarzeń</w:t>
      </w:r>
    </w:p>
    <w:p w14:paraId="77B1A81F" w14:textId="77777777" w:rsidR="002F4F56" w:rsidRPr="00293C9B" w:rsidRDefault="002F4F56" w:rsidP="00293C9B">
      <w:pPr>
        <w:spacing w:line="24" w:lineRule="atLeast"/>
        <w:ind w:left="1440"/>
        <w:jc w:val="both"/>
        <w:rPr>
          <w:rFonts w:asciiTheme="minorHAnsi" w:hAnsiTheme="minorHAnsi" w:cstheme="minorHAnsi"/>
          <w:sz w:val="22"/>
          <w:szCs w:val="22"/>
        </w:rPr>
      </w:pPr>
    </w:p>
    <w:p w14:paraId="758B933C"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Scenariusz ten musi być realizowany z włączonym pełnym zakresem ochrony tj. z włączonymi wszystkimi dostępnymi dla rozwiązania sygnaturami IPS oraz z wszystkimi funkcjami dostępnymi w urządzeniu dla silników antywirus i </w:t>
      </w:r>
      <w:proofErr w:type="spellStart"/>
      <w:r w:rsidRPr="00293C9B">
        <w:rPr>
          <w:rFonts w:asciiTheme="minorHAnsi" w:hAnsiTheme="minorHAnsi" w:cstheme="minorHAnsi"/>
          <w:sz w:val="22"/>
          <w:szCs w:val="22"/>
        </w:rPr>
        <w:t>antyspyware</w:t>
      </w:r>
      <w:proofErr w:type="spellEnd"/>
      <w:r w:rsidRPr="00293C9B">
        <w:rPr>
          <w:rFonts w:asciiTheme="minorHAnsi" w:hAnsiTheme="minorHAnsi" w:cstheme="minorHAnsi"/>
          <w:sz w:val="22"/>
          <w:szCs w:val="22"/>
        </w:rPr>
        <w:t>/</w:t>
      </w:r>
      <w:proofErr w:type="spellStart"/>
      <w:r w:rsidRPr="00293C9B">
        <w:rPr>
          <w:rFonts w:asciiTheme="minorHAnsi" w:hAnsiTheme="minorHAnsi" w:cstheme="minorHAnsi"/>
          <w:sz w:val="22"/>
          <w:szCs w:val="22"/>
        </w:rPr>
        <w:t>antymalware</w:t>
      </w:r>
      <w:proofErr w:type="spellEnd"/>
      <w:r w:rsidRPr="00293C9B">
        <w:rPr>
          <w:rFonts w:asciiTheme="minorHAnsi" w:hAnsiTheme="minorHAnsi" w:cstheme="minorHAnsi"/>
          <w:sz w:val="22"/>
          <w:szCs w:val="22"/>
        </w:rPr>
        <w:t xml:space="preserve">. Inspekcjom bezpieczeństwa musi podlegać cały ruch – sprawdzeniu musi podlegać każdy bajt danych przesyłany przez urządzenie. Zamawiający wymaga, aby podana została przepustowość urządzenia dla pełnego zakresu ochrony oferowanego przez urządzenie – jeżeli urządzenie pozwala na pracę w wielu trybach to należy podać przepustowość dla trybu z największą liczbą dostępnych inspekcji dla silników IPS, antywirus, </w:t>
      </w:r>
      <w:proofErr w:type="spellStart"/>
      <w:r w:rsidRPr="00293C9B">
        <w:rPr>
          <w:rFonts w:asciiTheme="minorHAnsi" w:hAnsiTheme="minorHAnsi" w:cstheme="minorHAnsi"/>
          <w:sz w:val="22"/>
          <w:szCs w:val="22"/>
        </w:rPr>
        <w:t>antymalware</w:t>
      </w:r>
      <w:proofErr w:type="spellEnd"/>
      <w:r w:rsidRPr="00293C9B">
        <w:rPr>
          <w:rFonts w:asciiTheme="minorHAnsi" w:hAnsiTheme="minorHAnsi" w:cstheme="minorHAnsi"/>
          <w:sz w:val="22"/>
          <w:szCs w:val="22"/>
        </w:rPr>
        <w:t>/</w:t>
      </w:r>
      <w:proofErr w:type="spellStart"/>
      <w:r w:rsidRPr="00293C9B">
        <w:rPr>
          <w:rFonts w:asciiTheme="minorHAnsi" w:hAnsiTheme="minorHAnsi" w:cstheme="minorHAnsi"/>
          <w:sz w:val="22"/>
          <w:szCs w:val="22"/>
        </w:rPr>
        <w:t>antyspyware</w:t>
      </w:r>
      <w:proofErr w:type="spellEnd"/>
      <w:r w:rsidRPr="00293C9B">
        <w:rPr>
          <w:rFonts w:asciiTheme="minorHAnsi" w:hAnsiTheme="minorHAnsi" w:cstheme="minorHAnsi"/>
          <w:sz w:val="22"/>
          <w:szCs w:val="22"/>
        </w:rPr>
        <w:t>.</w:t>
      </w:r>
    </w:p>
    <w:p w14:paraId="069C6D3F" w14:textId="77777777" w:rsidR="002F4F56" w:rsidRPr="00293C9B" w:rsidRDefault="002F4F56" w:rsidP="00293C9B">
      <w:pPr>
        <w:spacing w:line="24" w:lineRule="atLeast"/>
        <w:jc w:val="both"/>
        <w:rPr>
          <w:rFonts w:asciiTheme="minorHAnsi" w:hAnsiTheme="minorHAnsi" w:cstheme="minorHAnsi"/>
          <w:sz w:val="22"/>
          <w:szCs w:val="22"/>
        </w:rPr>
      </w:pPr>
    </w:p>
    <w:p w14:paraId="3A17B486" w14:textId="77777777" w:rsidR="002F4F56" w:rsidRPr="00293C9B" w:rsidRDefault="002F4F56" w:rsidP="00293C9B">
      <w:pPr>
        <w:numPr>
          <w:ilvl w:val="0"/>
          <w:numId w:val="20"/>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Charakterystyka ruchu sieciowego dla interpretacji parametrów wydajnościowych.</w:t>
      </w:r>
    </w:p>
    <w:p w14:paraId="3A7539B8" w14:textId="77777777" w:rsidR="002F4F56" w:rsidRPr="00293C9B" w:rsidRDefault="002F4F56" w:rsidP="00293C9B">
      <w:pPr>
        <w:spacing w:line="24" w:lineRule="atLeast"/>
        <w:jc w:val="both"/>
        <w:rPr>
          <w:rFonts w:asciiTheme="minorHAnsi" w:hAnsiTheme="minorHAnsi" w:cstheme="minorHAnsi"/>
          <w:sz w:val="22"/>
          <w:szCs w:val="22"/>
        </w:rPr>
      </w:pPr>
    </w:p>
    <w:p w14:paraId="3E3414CC"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Wszystkie parametry dotyczące wydajności, pod kątem przepustowości (ang. </w:t>
      </w:r>
      <w:proofErr w:type="spellStart"/>
      <w:r w:rsidRPr="00293C9B">
        <w:rPr>
          <w:rFonts w:asciiTheme="minorHAnsi" w:hAnsiTheme="minorHAnsi" w:cstheme="minorHAnsi"/>
          <w:sz w:val="22"/>
          <w:szCs w:val="22"/>
        </w:rPr>
        <w:t>throughput</w:t>
      </w:r>
      <w:proofErr w:type="spellEnd"/>
      <w:r w:rsidRPr="00293C9B">
        <w:rPr>
          <w:rFonts w:asciiTheme="minorHAnsi" w:hAnsiTheme="minorHAnsi" w:cstheme="minorHAnsi"/>
          <w:sz w:val="22"/>
          <w:szCs w:val="22"/>
        </w:rPr>
        <w:t>), wymaganej na oferowanym firewallu zakładają, iż będą to parametry wskazane przez producentów w dokumentacji (lub testach) jako inspekcja http z wielkością sesji 64KB lub mniejszą wartością np. http 44KB, 40KB – zależnie od tego jaki parametr sesji http przyjął producent urządzenia firewall do określenia jego parametrów.</w:t>
      </w:r>
    </w:p>
    <w:p w14:paraId="6F0E9E7D"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W przypadku gdy Wykonawca zaproponuje urządzenie, którego wydajność nie będzie wskazana w oficjalnej i publicznie dostępnej dokumentacji wówczas jest on zobowiązany do dodatkowego </w:t>
      </w:r>
      <w:r w:rsidRPr="00293C9B">
        <w:rPr>
          <w:rFonts w:asciiTheme="minorHAnsi" w:hAnsiTheme="minorHAnsi" w:cstheme="minorHAnsi"/>
          <w:sz w:val="22"/>
          <w:szCs w:val="22"/>
        </w:rPr>
        <w:lastRenderedPageBreak/>
        <w:t xml:space="preserve">potwierdzenia spełnienia wymagań wydajnościowych. Zamawiający wymaga, aby potwierdzenie zostało dostarczone w postaci wyników testów przeprowadzonych przez publiczny ośrodek badawczo-rozwojowy w Polsce (np. Instytut Łączności, Poznańskie Centrum Superkomputerowo-Sieciowe, lub inny podobny) z wykorzystaniem dedykowanych testerów ruchu – IXIA lub </w:t>
      </w:r>
      <w:proofErr w:type="spellStart"/>
      <w:r w:rsidRPr="00293C9B">
        <w:rPr>
          <w:rFonts w:asciiTheme="minorHAnsi" w:hAnsiTheme="minorHAnsi" w:cstheme="minorHAnsi"/>
          <w:sz w:val="22"/>
          <w:szCs w:val="22"/>
        </w:rPr>
        <w:t>Spirent</w:t>
      </w:r>
      <w:proofErr w:type="spellEnd"/>
      <w:r w:rsidRPr="00293C9B">
        <w:rPr>
          <w:rFonts w:asciiTheme="minorHAnsi" w:hAnsiTheme="minorHAnsi" w:cstheme="minorHAnsi"/>
          <w:sz w:val="22"/>
          <w:szCs w:val="22"/>
        </w:rPr>
        <w:t xml:space="preserve"> lub </w:t>
      </w:r>
      <w:proofErr w:type="spellStart"/>
      <w:r w:rsidRPr="00293C9B">
        <w:rPr>
          <w:rFonts w:asciiTheme="minorHAnsi" w:hAnsiTheme="minorHAnsi" w:cstheme="minorHAnsi"/>
          <w:sz w:val="22"/>
          <w:szCs w:val="22"/>
        </w:rPr>
        <w:t>Agilent</w:t>
      </w:r>
      <w:proofErr w:type="spellEnd"/>
      <w:r w:rsidRPr="00293C9B">
        <w:rPr>
          <w:rFonts w:asciiTheme="minorHAnsi" w:hAnsiTheme="minorHAnsi" w:cstheme="minorHAnsi"/>
          <w:sz w:val="22"/>
          <w:szCs w:val="22"/>
        </w:rPr>
        <w:t>.</w:t>
      </w:r>
    </w:p>
    <w:p w14:paraId="1EE30D16" w14:textId="77777777" w:rsidR="002F4F56" w:rsidRPr="00293C9B" w:rsidRDefault="002F4F56" w:rsidP="00293C9B">
      <w:pPr>
        <w:spacing w:line="24" w:lineRule="atLeast"/>
        <w:rPr>
          <w:rFonts w:asciiTheme="minorHAnsi" w:hAnsiTheme="minorHAnsi" w:cstheme="minorHAnsi"/>
          <w:i/>
          <w:iCs/>
          <w:sz w:val="22"/>
          <w:szCs w:val="22"/>
        </w:rPr>
      </w:pPr>
    </w:p>
    <w:p w14:paraId="63C363F8" w14:textId="77777777" w:rsidR="002F4F56" w:rsidRPr="00293C9B" w:rsidRDefault="002F4F56" w:rsidP="00293C9B">
      <w:pPr>
        <w:numPr>
          <w:ilvl w:val="0"/>
          <w:numId w:val="16"/>
        </w:numPr>
        <w:pBdr>
          <w:top w:val="nil"/>
          <w:left w:val="nil"/>
          <w:bottom w:val="nil"/>
          <w:right w:val="nil"/>
          <w:between w:val="nil"/>
        </w:pBd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WYMAGANIA LICENCYJNE</w:t>
      </w:r>
    </w:p>
    <w:p w14:paraId="59DF1DFF" w14:textId="77777777" w:rsidR="002F4F56" w:rsidRPr="00293C9B" w:rsidRDefault="002F4F56" w:rsidP="00293C9B">
      <w:pPr>
        <w:spacing w:line="24" w:lineRule="atLeast"/>
        <w:jc w:val="both"/>
        <w:rPr>
          <w:rFonts w:asciiTheme="minorHAnsi" w:hAnsiTheme="minorHAnsi" w:cstheme="minorHAnsi"/>
          <w:sz w:val="22"/>
          <w:szCs w:val="22"/>
        </w:rPr>
      </w:pPr>
    </w:p>
    <w:p w14:paraId="5F8EB7F8" w14:textId="77777777" w:rsidR="002F4F56" w:rsidRPr="00293C9B"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Całość rozwiązania będzie pochodziła od jednego producenta. </w:t>
      </w:r>
    </w:p>
    <w:p w14:paraId="01349A5C" w14:textId="77777777" w:rsidR="002F4F56" w:rsidRPr="00293C9B"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W przypadku, kiedy jakakolwiek funkcjonalność lub parametr ilościowy wymagają licencji, Zamawiający wymaga ich dostarczenia w celu zapewnienia pełni wymaganych właściwości przez okres </w:t>
      </w:r>
      <w:r w:rsidRPr="00293C9B">
        <w:rPr>
          <w:rFonts w:asciiTheme="minorHAnsi" w:hAnsiTheme="minorHAnsi" w:cstheme="minorHAnsi"/>
          <w:b/>
          <w:bCs/>
          <w:sz w:val="22"/>
          <w:szCs w:val="22"/>
        </w:rPr>
        <w:t>36 miesięcy</w:t>
      </w:r>
      <w:r w:rsidRPr="00293C9B">
        <w:rPr>
          <w:rFonts w:asciiTheme="minorHAnsi" w:hAnsiTheme="minorHAnsi" w:cstheme="minorHAnsi"/>
          <w:sz w:val="22"/>
          <w:szCs w:val="22"/>
        </w:rPr>
        <w:t>.</w:t>
      </w:r>
    </w:p>
    <w:p w14:paraId="5A127929" w14:textId="77777777" w:rsidR="002F4F56" w:rsidRPr="00293C9B"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Dla systemu firewall należy dostarczyć usługi abonamentowe (subskrypcje) obejmujące aktualizacje sygnatur dla następujących funkcji:</w:t>
      </w:r>
    </w:p>
    <w:p w14:paraId="11BF0D83"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Aktualizacje bazy aplikacji;</w:t>
      </w:r>
    </w:p>
    <w:p w14:paraId="697623F1"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Aktualizacje baz sygnatur IPS;</w:t>
      </w:r>
    </w:p>
    <w:p w14:paraId="744DCE15"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Aktualizacje baz sygnatur AV;</w:t>
      </w:r>
    </w:p>
    <w:p w14:paraId="67E7ED4B"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Dostęp do bazy URL zapewniającej informacje o kategoryzacji strony i powiązanym z nią poziomie ryzyka;</w:t>
      </w:r>
    </w:p>
    <w:p w14:paraId="47874537"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współpracy z systemem </w:t>
      </w:r>
      <w:proofErr w:type="spellStart"/>
      <w:r w:rsidRPr="00293C9B">
        <w:rPr>
          <w:rFonts w:asciiTheme="minorHAnsi" w:hAnsiTheme="minorHAnsi" w:cstheme="minorHAnsi"/>
          <w:sz w:val="22"/>
          <w:szCs w:val="22"/>
        </w:rPr>
        <w:t>sandbox</w:t>
      </w:r>
      <w:proofErr w:type="spellEnd"/>
      <w:r w:rsidRPr="00293C9B">
        <w:rPr>
          <w:rFonts w:asciiTheme="minorHAnsi" w:hAnsiTheme="minorHAnsi" w:cstheme="minorHAnsi"/>
          <w:sz w:val="22"/>
          <w:szCs w:val="22"/>
        </w:rPr>
        <w:t>;</w:t>
      </w:r>
    </w:p>
    <w:p w14:paraId="2B772932"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Aktualizacji baz dla ochrony DNS;</w:t>
      </w:r>
    </w:p>
    <w:p w14:paraId="0DBC963F" w14:textId="6A3BE0E8" w:rsid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Realizację sieci VPN w trybie </w:t>
      </w:r>
      <w:proofErr w:type="spellStart"/>
      <w:r w:rsidRPr="00293C9B">
        <w:rPr>
          <w:rFonts w:asciiTheme="minorHAnsi" w:hAnsiTheme="minorHAnsi" w:cstheme="minorHAnsi"/>
          <w:sz w:val="22"/>
          <w:szCs w:val="22"/>
        </w:rPr>
        <w:t>site</w:t>
      </w:r>
      <w:proofErr w:type="spellEnd"/>
      <w:r w:rsidRPr="00293C9B">
        <w:rPr>
          <w:rFonts w:asciiTheme="minorHAnsi" w:hAnsiTheme="minorHAnsi" w:cstheme="minorHAnsi"/>
          <w:sz w:val="22"/>
          <w:szCs w:val="22"/>
        </w:rPr>
        <w:t>-to-</w:t>
      </w:r>
      <w:proofErr w:type="spellStart"/>
      <w:r w:rsidRPr="00293C9B">
        <w:rPr>
          <w:rFonts w:asciiTheme="minorHAnsi" w:hAnsiTheme="minorHAnsi" w:cstheme="minorHAnsi"/>
          <w:sz w:val="22"/>
          <w:szCs w:val="22"/>
        </w:rPr>
        <w:t>site</w:t>
      </w:r>
      <w:proofErr w:type="spellEnd"/>
      <w:r w:rsidRPr="00293C9B">
        <w:rPr>
          <w:rFonts w:asciiTheme="minorHAnsi" w:hAnsiTheme="minorHAnsi" w:cstheme="minorHAnsi"/>
          <w:sz w:val="22"/>
          <w:szCs w:val="22"/>
        </w:rPr>
        <w:t xml:space="preserve"> i </w:t>
      </w:r>
      <w:proofErr w:type="spellStart"/>
      <w:r w:rsidRPr="00293C9B">
        <w:rPr>
          <w:rFonts w:asciiTheme="minorHAnsi" w:hAnsiTheme="minorHAnsi" w:cstheme="minorHAnsi"/>
          <w:sz w:val="22"/>
          <w:szCs w:val="22"/>
        </w:rPr>
        <w:t>client</w:t>
      </w:r>
      <w:proofErr w:type="spellEnd"/>
      <w:r w:rsidRPr="00293C9B">
        <w:rPr>
          <w:rFonts w:asciiTheme="minorHAnsi" w:hAnsiTheme="minorHAnsi" w:cstheme="minorHAnsi"/>
          <w:sz w:val="22"/>
          <w:szCs w:val="22"/>
        </w:rPr>
        <w:t>-to-</w:t>
      </w:r>
      <w:proofErr w:type="spellStart"/>
      <w:r w:rsidRPr="00293C9B">
        <w:rPr>
          <w:rFonts w:asciiTheme="minorHAnsi" w:hAnsiTheme="minorHAnsi" w:cstheme="minorHAnsi"/>
          <w:sz w:val="22"/>
          <w:szCs w:val="22"/>
        </w:rPr>
        <w:t>site</w:t>
      </w:r>
      <w:proofErr w:type="spellEnd"/>
      <w:r w:rsidRPr="00293C9B">
        <w:rPr>
          <w:rFonts w:asciiTheme="minorHAnsi" w:hAnsiTheme="minorHAnsi" w:cstheme="minorHAnsi"/>
          <w:sz w:val="22"/>
          <w:szCs w:val="22"/>
        </w:rPr>
        <w:t xml:space="preserve"> (wraz z oprogramowaniem klienta VPN).</w:t>
      </w:r>
    </w:p>
    <w:p w14:paraId="16301460" w14:textId="77777777" w:rsidR="00293C9B" w:rsidRDefault="00293C9B" w:rsidP="00293C9B">
      <w:pPr>
        <w:pBdr>
          <w:top w:val="nil"/>
          <w:left w:val="nil"/>
          <w:bottom w:val="nil"/>
          <w:right w:val="nil"/>
          <w:between w:val="nil"/>
        </w:pBdr>
        <w:spacing w:line="24" w:lineRule="atLeast"/>
        <w:ind w:left="709"/>
        <w:jc w:val="both"/>
        <w:rPr>
          <w:rFonts w:asciiTheme="minorHAnsi" w:hAnsiTheme="minorHAnsi" w:cstheme="minorHAnsi"/>
          <w:sz w:val="22"/>
          <w:szCs w:val="22"/>
        </w:rPr>
      </w:pPr>
    </w:p>
    <w:p w14:paraId="54F8A8B7" w14:textId="10CC090A" w:rsidR="002F4F56" w:rsidRPr="00293C9B" w:rsidRDefault="002F4F56" w:rsidP="00293C9B">
      <w:pPr>
        <w:pStyle w:val="Akapitzlist"/>
        <w:numPr>
          <w:ilvl w:val="0"/>
          <w:numId w:val="16"/>
        </w:numPr>
        <w:pBdr>
          <w:top w:val="nil"/>
          <w:left w:val="nil"/>
          <w:bottom w:val="nil"/>
          <w:right w:val="nil"/>
          <w:between w:val="nil"/>
        </w:pBdr>
        <w:spacing w:after="0" w:line="24" w:lineRule="atLeast"/>
        <w:contextualSpacing w:val="0"/>
        <w:jc w:val="both"/>
        <w:rPr>
          <w:rFonts w:asciiTheme="minorHAnsi" w:hAnsiTheme="minorHAnsi" w:cstheme="minorHAnsi"/>
        </w:rPr>
      </w:pPr>
      <w:r w:rsidRPr="00293C9B">
        <w:rPr>
          <w:rFonts w:cstheme="minorHAnsi"/>
          <w:b/>
        </w:rPr>
        <w:t>DODATKOWE WYMAGANIA</w:t>
      </w:r>
    </w:p>
    <w:p w14:paraId="626D54FD"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Wykonawca zobowiązany jest w szczególności dostarczyć, zainstalować, wdrożyć i skonfigurować urządzenia, określone w Opisie Przedmiotu Zamówienia i ofercie Wykonawcy.</w:t>
      </w:r>
    </w:p>
    <w:p w14:paraId="176245F4"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Wraz z urządzeniami, Wykonawca dostarczy Zamawiającemu wszelką dokumentację urządzeń dostarczaną przez producenta urządzenia, w szczególności instrukcje obsługi.</w:t>
      </w:r>
    </w:p>
    <w:p w14:paraId="30226587"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Dostarczone urządzenia i inne części które Zamawiający dostarcza Wykonawcy muszą posiadać stosowne certyfikaty, oraz spełniać wszelkie wymogi i normy zastrzeżone przez obowiązujące w Polsce przepisy.</w:t>
      </w:r>
    </w:p>
    <w:p w14:paraId="329DB540"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Do czasu przetestowania urządzeń i sieci i podpisania protokołu odbioru końcowego, Wykonawca ponosi ryzyko ich niesprawności lub wystąpienia innych wad, chyba że niesprawność lub wada została wyrządzona z winy Zamawiającego.</w:t>
      </w:r>
    </w:p>
    <w:p w14:paraId="673F1D7B"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Wykonawca dostarczy dokument, z którego będą wynikały wszystkie parametry oferowanego urządzenia wskazane w Opisie przedmiotu zamówienia: karta katalogowa urządzenia lub oświadczenie producenta lub oświadczenie autoryzowanego przedstawiciela producenta.</w:t>
      </w:r>
    </w:p>
    <w:p w14:paraId="7B5AF197"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Wymagane jest oświadczenie Wykonawcy gwarantujące, że sprzęt dostarczony w ramach realizacji umowy pochodzi z legalnego źródła i nie jest częścią żadnego projektu oferowanego dla innych podmiotów.</w:t>
      </w:r>
    </w:p>
    <w:p w14:paraId="6AF31BFF"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 xml:space="preserve">Wymagane jest oświadczenie Wykonawcy lub producenta urządzenia lub autoryzowanego przedstawiciela producenta, że oferowane urządzenia są fabrycznie nowe i nie są sprzętem </w:t>
      </w:r>
      <w:proofErr w:type="spellStart"/>
      <w:r w:rsidRPr="00293C9B">
        <w:rPr>
          <w:rFonts w:cstheme="minorHAnsi"/>
        </w:rPr>
        <w:t>poserwisowym</w:t>
      </w:r>
      <w:proofErr w:type="spellEnd"/>
      <w:r w:rsidRPr="00293C9B">
        <w:rPr>
          <w:rFonts w:cstheme="minorHAnsi"/>
        </w:rPr>
        <w:t xml:space="preserve"> i </w:t>
      </w:r>
      <w:proofErr w:type="spellStart"/>
      <w:r w:rsidRPr="00293C9B">
        <w:rPr>
          <w:rFonts w:cstheme="minorHAnsi"/>
        </w:rPr>
        <w:t>refrabrykowanym</w:t>
      </w:r>
      <w:proofErr w:type="spellEnd"/>
      <w:r w:rsidRPr="00293C9B">
        <w:rPr>
          <w:rFonts w:cstheme="minorHAnsi"/>
        </w:rPr>
        <w:t>.</w:t>
      </w:r>
    </w:p>
    <w:p w14:paraId="0B860671"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Wymagane jest oświadczenie o pozostawieniu nośnika danych u Zamawiającego na wypadek awarii urządzenia lub samego nośnika danych.</w:t>
      </w:r>
    </w:p>
    <w:p w14:paraId="2FB1D9D2" w14:textId="2EEF9533" w:rsidR="002F4F56" w:rsidRDefault="002F4F56" w:rsidP="00293C9B">
      <w:pPr>
        <w:pStyle w:val="Bezodstpw"/>
        <w:numPr>
          <w:ilvl w:val="0"/>
          <w:numId w:val="28"/>
        </w:numPr>
        <w:spacing w:line="24" w:lineRule="atLeast"/>
        <w:ind w:left="426" w:hanging="426"/>
        <w:rPr>
          <w:rFonts w:cstheme="minorHAnsi"/>
        </w:rPr>
      </w:pPr>
      <w:r w:rsidRPr="00293C9B">
        <w:rPr>
          <w:rFonts w:cstheme="minorHAnsi"/>
        </w:rPr>
        <w:t>Zamawiane urządzenia zabezpieczające muszą w pełni współpracować z Centralnym Systemem Zarządzania posiadanym przez Zamawiającego „</w:t>
      </w:r>
      <w:proofErr w:type="spellStart"/>
      <w:r w:rsidRPr="00293C9B">
        <w:rPr>
          <w:rFonts w:cstheme="minorHAnsi"/>
        </w:rPr>
        <w:t>Palo</w:t>
      </w:r>
      <w:proofErr w:type="spellEnd"/>
      <w:r w:rsidRPr="00293C9B">
        <w:rPr>
          <w:rFonts w:cstheme="minorHAnsi"/>
        </w:rPr>
        <w:t xml:space="preserve"> </w:t>
      </w:r>
      <w:proofErr w:type="spellStart"/>
      <w:r w:rsidRPr="00293C9B">
        <w:rPr>
          <w:rFonts w:cstheme="minorHAnsi"/>
        </w:rPr>
        <w:t>Alto</w:t>
      </w:r>
      <w:proofErr w:type="spellEnd"/>
      <w:r w:rsidRPr="00293C9B">
        <w:rPr>
          <w:rFonts w:cstheme="minorHAnsi"/>
        </w:rPr>
        <w:t xml:space="preserve"> Panorama”. Wymagane jest oświadczenie potwierdzające spełnienie tego wymagania.</w:t>
      </w:r>
    </w:p>
    <w:p w14:paraId="383B82AB" w14:textId="77777777" w:rsidR="00293C9B" w:rsidRPr="00293C9B" w:rsidRDefault="00293C9B" w:rsidP="00293C9B">
      <w:pPr>
        <w:pStyle w:val="Bezodstpw"/>
        <w:spacing w:line="24" w:lineRule="atLeast"/>
        <w:ind w:left="426"/>
        <w:rPr>
          <w:rFonts w:cstheme="minorHAnsi"/>
        </w:rPr>
      </w:pPr>
    </w:p>
    <w:p w14:paraId="31393C50" w14:textId="47ABA84E" w:rsidR="002F4F56" w:rsidRPr="00293C9B" w:rsidRDefault="002F4F56" w:rsidP="00293C9B">
      <w:pPr>
        <w:pStyle w:val="Akapitzlist"/>
        <w:numPr>
          <w:ilvl w:val="0"/>
          <w:numId w:val="16"/>
        </w:numPr>
        <w:spacing w:after="0" w:line="24" w:lineRule="atLeast"/>
        <w:contextualSpacing w:val="0"/>
        <w:rPr>
          <w:rFonts w:asciiTheme="minorHAnsi" w:hAnsiTheme="minorHAnsi" w:cstheme="minorHAnsi"/>
          <w:b/>
        </w:rPr>
      </w:pPr>
      <w:r w:rsidRPr="00293C9B">
        <w:rPr>
          <w:rFonts w:asciiTheme="minorHAnsi" w:hAnsiTheme="minorHAnsi" w:cstheme="minorHAnsi"/>
          <w:b/>
        </w:rPr>
        <w:t>WYKAZ LOKALIZACJI</w:t>
      </w:r>
    </w:p>
    <w:p w14:paraId="7BCB9F60"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Białymstoku</w:t>
      </w:r>
    </w:p>
    <w:p w14:paraId="4DAE2FAB"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lastRenderedPageBreak/>
        <w:t>Sąd Rejonowy w Łomży</w:t>
      </w:r>
    </w:p>
    <w:p w14:paraId="2E678E76"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Wysokiem Mazowieckiem</w:t>
      </w:r>
    </w:p>
    <w:p w14:paraId="55D10874"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 xml:space="preserve">Sąd Rejonowy w Zambrowie </w:t>
      </w:r>
    </w:p>
    <w:p w14:paraId="4F3E1DD6"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Bartoszycach</w:t>
      </w:r>
    </w:p>
    <w:p w14:paraId="1D0B7076"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Biskupcu</w:t>
      </w:r>
    </w:p>
    <w:p w14:paraId="5AE630EA"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Lidzbarku Warmińskim</w:t>
      </w:r>
    </w:p>
    <w:p w14:paraId="4BEF56E0"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Mrągowie</w:t>
      </w:r>
    </w:p>
    <w:p w14:paraId="37E4AF5C"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Nidzicy</w:t>
      </w:r>
    </w:p>
    <w:p w14:paraId="5B282A0C"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Piszu</w:t>
      </w:r>
    </w:p>
    <w:p w14:paraId="2EE1EF18"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Szczytnie</w:t>
      </w:r>
    </w:p>
    <w:p w14:paraId="2C9E324D"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Ostrołęce</w:t>
      </w:r>
    </w:p>
    <w:p w14:paraId="4BFC91DB"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Rejonowy w Przasnyszu</w:t>
      </w:r>
    </w:p>
    <w:p w14:paraId="33746F40"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u w:val="single"/>
        </w:rPr>
      </w:pPr>
      <w:r w:rsidRPr="00293C9B">
        <w:rPr>
          <w:rFonts w:asciiTheme="minorHAnsi" w:hAnsiTheme="minorHAnsi" w:cstheme="minorHAnsi"/>
        </w:rPr>
        <w:t>Sąd Rejonowy w Wyszkowie</w:t>
      </w:r>
    </w:p>
    <w:p w14:paraId="14DCCB49" w14:textId="77777777" w:rsidR="002F4F56" w:rsidRPr="00293C9B"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Sąd Okręgowy w Olsztynie - OZSS</w:t>
      </w:r>
      <w:r w:rsidRPr="00293C9B">
        <w:rPr>
          <w:rFonts w:asciiTheme="minorHAnsi" w:hAnsiTheme="minorHAnsi" w:cstheme="minorHAnsi"/>
        </w:rPr>
        <w:br w:type="page"/>
      </w:r>
    </w:p>
    <w:p w14:paraId="756F6B9C" w14:textId="77777777" w:rsidR="002F4F56" w:rsidRPr="00293C9B" w:rsidRDefault="002F4F56" w:rsidP="00293C9B">
      <w:pPr>
        <w:spacing w:line="24" w:lineRule="atLeast"/>
        <w:ind w:left="720" w:hanging="720"/>
        <w:jc w:val="both"/>
        <w:rPr>
          <w:rFonts w:asciiTheme="minorHAnsi" w:hAnsiTheme="minorHAnsi" w:cstheme="minorHAnsi"/>
          <w:b/>
          <w:sz w:val="22"/>
          <w:szCs w:val="22"/>
          <w:u w:val="single"/>
        </w:rPr>
      </w:pPr>
      <w:r w:rsidRPr="00293C9B">
        <w:rPr>
          <w:rFonts w:asciiTheme="minorHAnsi" w:hAnsiTheme="minorHAnsi" w:cstheme="minorHAnsi"/>
          <w:b/>
          <w:sz w:val="22"/>
          <w:szCs w:val="22"/>
          <w:u w:val="single"/>
        </w:rPr>
        <w:lastRenderedPageBreak/>
        <w:t>CZĘŚĆ 2 ZAMÓWNIENIA</w:t>
      </w:r>
    </w:p>
    <w:p w14:paraId="4E80336F" w14:textId="77777777" w:rsidR="002F4F56" w:rsidRPr="00293C9B" w:rsidRDefault="002F4F56" w:rsidP="00293C9B">
      <w:pPr>
        <w:spacing w:line="24" w:lineRule="atLeast"/>
        <w:jc w:val="both"/>
        <w:rPr>
          <w:rFonts w:asciiTheme="minorHAnsi" w:hAnsiTheme="minorHAnsi" w:cstheme="minorHAnsi"/>
          <w:sz w:val="22"/>
          <w:szCs w:val="22"/>
        </w:rPr>
      </w:pPr>
    </w:p>
    <w:p w14:paraId="2E2949C5" w14:textId="77777777" w:rsidR="002F4F56" w:rsidRPr="00293C9B" w:rsidRDefault="002F4F56" w:rsidP="00293C9B">
      <w:pPr>
        <w:pStyle w:val="Akapitzlist"/>
        <w:numPr>
          <w:ilvl w:val="0"/>
          <w:numId w:val="1"/>
        </w:numPr>
        <w:spacing w:after="0" w:line="24" w:lineRule="atLeast"/>
        <w:ind w:left="567" w:hanging="567"/>
        <w:contextualSpacing w:val="0"/>
        <w:rPr>
          <w:rFonts w:asciiTheme="minorHAnsi" w:hAnsiTheme="minorHAnsi" w:cstheme="minorHAnsi"/>
          <w:b/>
        </w:rPr>
      </w:pPr>
      <w:r w:rsidRPr="00293C9B">
        <w:rPr>
          <w:rFonts w:asciiTheme="minorHAnsi" w:hAnsiTheme="minorHAnsi" w:cstheme="minorHAnsi"/>
          <w:b/>
        </w:rPr>
        <w:t>Przedmiot zamówienia</w:t>
      </w:r>
    </w:p>
    <w:p w14:paraId="00FFE336" w14:textId="77777777" w:rsidR="002F4F56" w:rsidRPr="00293C9B" w:rsidRDefault="002F4F56" w:rsidP="00293C9B">
      <w:pPr>
        <w:pStyle w:val="Akapitzlist"/>
        <w:numPr>
          <w:ilvl w:val="0"/>
          <w:numId w:val="2"/>
        </w:numPr>
        <w:spacing w:after="0" w:line="24" w:lineRule="atLeast"/>
        <w:contextualSpacing w:val="0"/>
        <w:rPr>
          <w:rFonts w:asciiTheme="minorHAnsi" w:hAnsiTheme="minorHAnsi" w:cstheme="minorHAnsi"/>
        </w:rPr>
      </w:pPr>
      <w:r w:rsidRPr="00293C9B">
        <w:rPr>
          <w:rFonts w:asciiTheme="minorHAnsi" w:hAnsiTheme="minorHAnsi" w:cstheme="minorHAnsi"/>
        </w:rPr>
        <w:t>Przedmiotem zamówienia jest przedłużenie subskrypcji i wsparcia dla posiadanych urządzeń   bezpieczeństwa brzegu sieci w sądach apelacji białostockiej.</w:t>
      </w:r>
    </w:p>
    <w:p w14:paraId="73BC3D85" w14:textId="77777777" w:rsidR="002F4F56" w:rsidRPr="00293C9B" w:rsidRDefault="002F4F56" w:rsidP="00293C9B">
      <w:pPr>
        <w:pStyle w:val="Akapitzlist"/>
        <w:numPr>
          <w:ilvl w:val="0"/>
          <w:numId w:val="2"/>
        </w:numPr>
        <w:spacing w:after="0" w:line="24" w:lineRule="atLeast"/>
        <w:ind w:left="641" w:hanging="357"/>
        <w:contextualSpacing w:val="0"/>
        <w:rPr>
          <w:rFonts w:asciiTheme="minorHAnsi" w:hAnsiTheme="minorHAnsi" w:cstheme="minorHAnsi"/>
        </w:rPr>
      </w:pPr>
      <w:r w:rsidRPr="00293C9B">
        <w:rPr>
          <w:rFonts w:asciiTheme="minorHAnsi" w:hAnsiTheme="minorHAnsi" w:cstheme="minorHAnsi"/>
        </w:rPr>
        <w:t>W zakres przedmiotu zamówienia wchodzą:</w:t>
      </w:r>
    </w:p>
    <w:p w14:paraId="17910C49" w14:textId="77777777" w:rsidR="002F4F56" w:rsidRPr="00293C9B" w:rsidRDefault="002F4F56" w:rsidP="00293C9B">
      <w:pPr>
        <w:spacing w:line="24" w:lineRule="atLeast"/>
        <w:ind w:left="851" w:hanging="142"/>
        <w:rPr>
          <w:rFonts w:asciiTheme="minorHAnsi" w:hAnsiTheme="minorHAnsi" w:cstheme="minorHAnsi"/>
          <w:sz w:val="22"/>
          <w:szCs w:val="22"/>
        </w:rPr>
      </w:pPr>
      <w:r w:rsidRPr="00293C9B">
        <w:rPr>
          <w:rFonts w:asciiTheme="minorHAnsi" w:hAnsiTheme="minorHAnsi" w:cstheme="minorHAnsi"/>
          <w:sz w:val="22"/>
          <w:szCs w:val="22"/>
        </w:rPr>
        <w:t xml:space="preserve">1) przedłużenie subskrypcji oraz usługi wsparcia dla urządzeń </w:t>
      </w:r>
      <w:proofErr w:type="spellStart"/>
      <w:r w:rsidRPr="00293C9B">
        <w:rPr>
          <w:rFonts w:asciiTheme="minorHAnsi" w:hAnsiTheme="minorHAnsi" w:cstheme="minorHAnsi"/>
          <w:sz w:val="22"/>
          <w:szCs w:val="22"/>
        </w:rPr>
        <w:t>PaloAlto</w:t>
      </w:r>
      <w:proofErr w:type="spellEnd"/>
      <w:r w:rsidRPr="00293C9B">
        <w:rPr>
          <w:rFonts w:asciiTheme="minorHAnsi" w:hAnsiTheme="minorHAnsi" w:cstheme="minorHAnsi"/>
          <w:sz w:val="22"/>
          <w:szCs w:val="22"/>
        </w:rPr>
        <w:t xml:space="preserve"> 440 procujących w klastrze na okres 36 miesięcy od dnia wygaśnięcia aktualnie obowiązującego wsparcia.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2918"/>
        <w:gridCol w:w="1673"/>
        <w:gridCol w:w="1785"/>
        <w:gridCol w:w="1887"/>
      </w:tblGrid>
      <w:tr w:rsidR="002F4F56" w:rsidRPr="00293C9B" w14:paraId="363BB975" w14:textId="77777777" w:rsidTr="005A6247">
        <w:tc>
          <w:tcPr>
            <w:tcW w:w="774" w:type="dxa"/>
            <w:tcBorders>
              <w:top w:val="single" w:sz="4" w:space="0" w:color="auto"/>
              <w:left w:val="single" w:sz="4" w:space="0" w:color="auto"/>
              <w:bottom w:val="single" w:sz="4" w:space="0" w:color="auto"/>
              <w:right w:val="single" w:sz="4" w:space="0" w:color="auto"/>
            </w:tcBorders>
            <w:hideMark/>
          </w:tcPr>
          <w:p w14:paraId="3290FA01"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Lp.</w:t>
            </w:r>
          </w:p>
        </w:tc>
        <w:tc>
          <w:tcPr>
            <w:tcW w:w="3090" w:type="dxa"/>
            <w:tcBorders>
              <w:top w:val="single" w:sz="4" w:space="0" w:color="auto"/>
              <w:left w:val="single" w:sz="4" w:space="0" w:color="auto"/>
              <w:bottom w:val="single" w:sz="4" w:space="0" w:color="auto"/>
              <w:right w:val="single" w:sz="4" w:space="0" w:color="auto"/>
            </w:tcBorders>
            <w:hideMark/>
          </w:tcPr>
          <w:p w14:paraId="7ED3B5A7"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Jednostka</w:t>
            </w:r>
          </w:p>
        </w:tc>
        <w:tc>
          <w:tcPr>
            <w:tcW w:w="1721" w:type="dxa"/>
            <w:tcBorders>
              <w:top w:val="single" w:sz="4" w:space="0" w:color="auto"/>
              <w:left w:val="single" w:sz="4" w:space="0" w:color="auto"/>
              <w:bottom w:val="single" w:sz="4" w:space="0" w:color="auto"/>
              <w:right w:val="single" w:sz="4" w:space="0" w:color="auto"/>
            </w:tcBorders>
            <w:hideMark/>
          </w:tcPr>
          <w:p w14:paraId="1AECB7D7"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Nazwa urządzenia</w:t>
            </w:r>
          </w:p>
        </w:tc>
        <w:tc>
          <w:tcPr>
            <w:tcW w:w="1807" w:type="dxa"/>
            <w:tcBorders>
              <w:top w:val="single" w:sz="4" w:space="0" w:color="auto"/>
              <w:left w:val="single" w:sz="4" w:space="0" w:color="auto"/>
              <w:bottom w:val="single" w:sz="4" w:space="0" w:color="auto"/>
              <w:right w:val="single" w:sz="4" w:space="0" w:color="auto"/>
            </w:tcBorders>
            <w:hideMark/>
          </w:tcPr>
          <w:p w14:paraId="06556370"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Numer seryjny</w:t>
            </w:r>
          </w:p>
        </w:tc>
        <w:tc>
          <w:tcPr>
            <w:tcW w:w="1952" w:type="dxa"/>
            <w:tcBorders>
              <w:top w:val="single" w:sz="4" w:space="0" w:color="auto"/>
              <w:left w:val="single" w:sz="4" w:space="0" w:color="auto"/>
              <w:bottom w:val="single" w:sz="4" w:space="0" w:color="auto"/>
              <w:right w:val="single" w:sz="4" w:space="0" w:color="auto"/>
            </w:tcBorders>
            <w:hideMark/>
          </w:tcPr>
          <w:p w14:paraId="14D4793C"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Wsparcie ważne do</w:t>
            </w:r>
          </w:p>
        </w:tc>
      </w:tr>
      <w:tr w:rsidR="002F4F56" w:rsidRPr="00293C9B" w14:paraId="2DDD4CA0" w14:textId="77777777" w:rsidTr="005A6247">
        <w:tc>
          <w:tcPr>
            <w:tcW w:w="774" w:type="dxa"/>
            <w:tcBorders>
              <w:top w:val="single" w:sz="4" w:space="0" w:color="auto"/>
              <w:left w:val="single" w:sz="4" w:space="0" w:color="auto"/>
              <w:bottom w:val="single" w:sz="4" w:space="0" w:color="auto"/>
              <w:right w:val="single" w:sz="4" w:space="0" w:color="auto"/>
            </w:tcBorders>
          </w:tcPr>
          <w:p w14:paraId="2C467BFF" w14:textId="77777777" w:rsidR="002F4F56" w:rsidRPr="00293C9B" w:rsidRDefault="002F4F56" w:rsidP="00293C9B">
            <w:pPr>
              <w:numPr>
                <w:ilvl w:val="0"/>
                <w:numId w:val="8"/>
              </w:numPr>
              <w:spacing w:line="24" w:lineRule="atLeast"/>
              <w:rPr>
                <w:rFonts w:asciiTheme="minorHAnsi" w:eastAsia="Calibri" w:hAnsiTheme="minorHAnsi" w:cstheme="minorHAnsi"/>
                <w:sz w:val="22"/>
                <w:szCs w:val="22"/>
              </w:rPr>
            </w:pPr>
          </w:p>
        </w:tc>
        <w:tc>
          <w:tcPr>
            <w:tcW w:w="3090" w:type="dxa"/>
            <w:tcBorders>
              <w:top w:val="single" w:sz="4" w:space="0" w:color="auto"/>
              <w:left w:val="single" w:sz="4" w:space="0" w:color="auto"/>
              <w:bottom w:val="single" w:sz="4" w:space="0" w:color="auto"/>
              <w:right w:val="single" w:sz="4" w:space="0" w:color="auto"/>
            </w:tcBorders>
            <w:hideMark/>
          </w:tcPr>
          <w:p w14:paraId="270FABD9"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 xml:space="preserve">Sąd </w:t>
            </w:r>
            <w:r w:rsidRPr="00293C9B">
              <w:rPr>
                <w:rFonts w:asciiTheme="minorHAnsi" w:hAnsiTheme="minorHAnsi" w:cstheme="minorHAnsi"/>
                <w:sz w:val="22"/>
                <w:szCs w:val="22"/>
              </w:rPr>
              <w:t>Rejonowy w Suwałkach</w:t>
            </w:r>
          </w:p>
        </w:tc>
        <w:tc>
          <w:tcPr>
            <w:tcW w:w="1721" w:type="dxa"/>
            <w:tcBorders>
              <w:top w:val="single" w:sz="4" w:space="0" w:color="auto"/>
              <w:left w:val="single" w:sz="4" w:space="0" w:color="auto"/>
              <w:bottom w:val="single" w:sz="4" w:space="0" w:color="auto"/>
              <w:right w:val="single" w:sz="4" w:space="0" w:color="auto"/>
            </w:tcBorders>
            <w:hideMark/>
          </w:tcPr>
          <w:p w14:paraId="1F405EE1"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807" w:type="dxa"/>
            <w:tcBorders>
              <w:top w:val="single" w:sz="4" w:space="0" w:color="auto"/>
              <w:left w:val="single" w:sz="4" w:space="0" w:color="auto"/>
              <w:bottom w:val="single" w:sz="4" w:space="0" w:color="auto"/>
              <w:right w:val="single" w:sz="4" w:space="0" w:color="auto"/>
            </w:tcBorders>
            <w:hideMark/>
          </w:tcPr>
          <w:p w14:paraId="03849650"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color w:val="32393F"/>
                <w:sz w:val="22"/>
                <w:szCs w:val="22"/>
                <w:shd w:val="clear" w:color="auto" w:fill="FFFFFF"/>
              </w:rPr>
              <w:t>021201008284</w:t>
            </w:r>
          </w:p>
        </w:tc>
        <w:tc>
          <w:tcPr>
            <w:tcW w:w="1952" w:type="dxa"/>
            <w:tcBorders>
              <w:top w:val="single" w:sz="4" w:space="0" w:color="auto"/>
              <w:left w:val="single" w:sz="4" w:space="0" w:color="auto"/>
              <w:bottom w:val="single" w:sz="4" w:space="0" w:color="auto"/>
              <w:right w:val="single" w:sz="4" w:space="0" w:color="auto"/>
            </w:tcBorders>
            <w:hideMark/>
          </w:tcPr>
          <w:p w14:paraId="108733DD"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25</w:t>
            </w:r>
            <w:r w:rsidRPr="00293C9B">
              <w:rPr>
                <w:rFonts w:asciiTheme="minorHAnsi" w:eastAsia="Calibri" w:hAnsiTheme="minorHAnsi" w:cstheme="minorHAnsi"/>
                <w:sz w:val="22"/>
                <w:szCs w:val="22"/>
              </w:rPr>
              <w:t>.1</w:t>
            </w:r>
            <w:r w:rsidRPr="00293C9B">
              <w:rPr>
                <w:rFonts w:asciiTheme="minorHAnsi" w:hAnsiTheme="minorHAnsi" w:cstheme="minorHAnsi"/>
                <w:sz w:val="22"/>
                <w:szCs w:val="22"/>
              </w:rPr>
              <w:t>1</w:t>
            </w:r>
            <w:r w:rsidRPr="00293C9B">
              <w:rPr>
                <w:rFonts w:asciiTheme="minorHAnsi" w:eastAsia="Calibri" w:hAnsiTheme="minorHAnsi" w:cstheme="minorHAnsi"/>
                <w:sz w:val="22"/>
                <w:szCs w:val="22"/>
              </w:rPr>
              <w:t>.202</w:t>
            </w:r>
            <w:r w:rsidRPr="00293C9B">
              <w:rPr>
                <w:rFonts w:asciiTheme="minorHAnsi" w:hAnsiTheme="minorHAnsi" w:cstheme="minorHAnsi"/>
                <w:sz w:val="22"/>
                <w:szCs w:val="22"/>
              </w:rPr>
              <w:t>4</w:t>
            </w:r>
          </w:p>
        </w:tc>
      </w:tr>
      <w:tr w:rsidR="002F4F56" w:rsidRPr="00293C9B" w14:paraId="202F0291" w14:textId="77777777" w:rsidTr="005A6247">
        <w:tc>
          <w:tcPr>
            <w:tcW w:w="774" w:type="dxa"/>
            <w:tcBorders>
              <w:top w:val="single" w:sz="4" w:space="0" w:color="auto"/>
              <w:left w:val="single" w:sz="4" w:space="0" w:color="auto"/>
              <w:bottom w:val="single" w:sz="4" w:space="0" w:color="auto"/>
              <w:right w:val="single" w:sz="4" w:space="0" w:color="auto"/>
            </w:tcBorders>
          </w:tcPr>
          <w:p w14:paraId="1DD15777" w14:textId="77777777" w:rsidR="002F4F56" w:rsidRPr="00293C9B" w:rsidRDefault="002F4F56" w:rsidP="00293C9B">
            <w:pPr>
              <w:numPr>
                <w:ilvl w:val="0"/>
                <w:numId w:val="8"/>
              </w:numPr>
              <w:spacing w:line="24" w:lineRule="atLeast"/>
              <w:rPr>
                <w:rFonts w:asciiTheme="minorHAnsi" w:eastAsia="Calibri" w:hAnsiTheme="minorHAnsi" w:cstheme="minorHAnsi"/>
                <w:sz w:val="22"/>
                <w:szCs w:val="22"/>
              </w:rPr>
            </w:pPr>
          </w:p>
        </w:tc>
        <w:tc>
          <w:tcPr>
            <w:tcW w:w="3090" w:type="dxa"/>
            <w:tcBorders>
              <w:top w:val="single" w:sz="4" w:space="0" w:color="auto"/>
              <w:left w:val="single" w:sz="4" w:space="0" w:color="auto"/>
              <w:bottom w:val="single" w:sz="4" w:space="0" w:color="auto"/>
              <w:right w:val="single" w:sz="4" w:space="0" w:color="auto"/>
            </w:tcBorders>
            <w:hideMark/>
          </w:tcPr>
          <w:p w14:paraId="031532B2"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 xml:space="preserve">Sąd </w:t>
            </w:r>
            <w:r w:rsidRPr="00293C9B">
              <w:rPr>
                <w:rFonts w:asciiTheme="minorHAnsi" w:hAnsiTheme="minorHAnsi" w:cstheme="minorHAnsi"/>
                <w:sz w:val="22"/>
                <w:szCs w:val="22"/>
              </w:rPr>
              <w:t>Rejonowy w Suwałkach</w:t>
            </w:r>
          </w:p>
        </w:tc>
        <w:tc>
          <w:tcPr>
            <w:tcW w:w="1721" w:type="dxa"/>
            <w:tcBorders>
              <w:top w:val="single" w:sz="4" w:space="0" w:color="auto"/>
              <w:left w:val="single" w:sz="4" w:space="0" w:color="auto"/>
              <w:bottom w:val="single" w:sz="4" w:space="0" w:color="auto"/>
              <w:right w:val="single" w:sz="4" w:space="0" w:color="auto"/>
            </w:tcBorders>
            <w:hideMark/>
          </w:tcPr>
          <w:p w14:paraId="5F468E8F"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807" w:type="dxa"/>
            <w:tcBorders>
              <w:top w:val="single" w:sz="4" w:space="0" w:color="auto"/>
              <w:left w:val="single" w:sz="4" w:space="0" w:color="auto"/>
              <w:bottom w:val="single" w:sz="4" w:space="0" w:color="auto"/>
              <w:right w:val="single" w:sz="4" w:space="0" w:color="auto"/>
            </w:tcBorders>
            <w:hideMark/>
          </w:tcPr>
          <w:p w14:paraId="30D7F120"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color w:val="32393F"/>
                <w:sz w:val="22"/>
                <w:szCs w:val="22"/>
                <w:shd w:val="clear" w:color="auto" w:fill="FFFFFF"/>
              </w:rPr>
              <w:t>021201008277</w:t>
            </w:r>
          </w:p>
        </w:tc>
        <w:tc>
          <w:tcPr>
            <w:tcW w:w="1952" w:type="dxa"/>
            <w:tcBorders>
              <w:top w:val="single" w:sz="4" w:space="0" w:color="auto"/>
              <w:left w:val="single" w:sz="4" w:space="0" w:color="auto"/>
              <w:bottom w:val="single" w:sz="4" w:space="0" w:color="auto"/>
              <w:right w:val="single" w:sz="4" w:space="0" w:color="auto"/>
            </w:tcBorders>
            <w:hideMark/>
          </w:tcPr>
          <w:p w14:paraId="674A15B1"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25</w:t>
            </w:r>
            <w:r w:rsidRPr="00293C9B">
              <w:rPr>
                <w:rFonts w:asciiTheme="minorHAnsi" w:eastAsia="Calibri" w:hAnsiTheme="minorHAnsi" w:cstheme="minorHAnsi"/>
                <w:sz w:val="22"/>
                <w:szCs w:val="22"/>
              </w:rPr>
              <w:t>.1</w:t>
            </w:r>
            <w:r w:rsidRPr="00293C9B">
              <w:rPr>
                <w:rFonts w:asciiTheme="minorHAnsi" w:hAnsiTheme="minorHAnsi" w:cstheme="minorHAnsi"/>
                <w:sz w:val="22"/>
                <w:szCs w:val="22"/>
              </w:rPr>
              <w:t>1</w:t>
            </w:r>
            <w:r w:rsidRPr="00293C9B">
              <w:rPr>
                <w:rFonts w:asciiTheme="minorHAnsi" w:eastAsia="Calibri" w:hAnsiTheme="minorHAnsi" w:cstheme="minorHAnsi"/>
                <w:sz w:val="22"/>
                <w:szCs w:val="22"/>
              </w:rPr>
              <w:t>.202</w:t>
            </w:r>
            <w:r w:rsidRPr="00293C9B">
              <w:rPr>
                <w:rFonts w:asciiTheme="minorHAnsi" w:hAnsiTheme="minorHAnsi" w:cstheme="minorHAnsi"/>
                <w:sz w:val="22"/>
                <w:szCs w:val="22"/>
              </w:rPr>
              <w:t>4</w:t>
            </w:r>
          </w:p>
        </w:tc>
      </w:tr>
    </w:tbl>
    <w:p w14:paraId="4682314B"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odnowienie subskrypcji zapobiegania zagrożeń (</w:t>
      </w:r>
      <w:proofErr w:type="spellStart"/>
      <w:r w:rsidRPr="00293C9B">
        <w:rPr>
          <w:rFonts w:asciiTheme="minorHAnsi" w:hAnsiTheme="minorHAnsi" w:cstheme="minorHAnsi"/>
          <w:sz w:val="22"/>
          <w:szCs w:val="22"/>
        </w:rPr>
        <w:t>Threat</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prevention</w:t>
      </w:r>
      <w:proofErr w:type="spellEnd"/>
      <w:r w:rsidRPr="00293C9B">
        <w:rPr>
          <w:rFonts w:asciiTheme="minorHAnsi" w:hAnsiTheme="minorHAnsi" w:cstheme="minorHAnsi"/>
          <w:sz w:val="22"/>
          <w:szCs w:val="22"/>
        </w:rPr>
        <w:t>) dla urządzenia PA-440 przez okres trzech lat od dnia wygaśnięcia aktualnie obowiązującego wsparcia.</w:t>
      </w:r>
    </w:p>
    <w:p w14:paraId="0BA9E211"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subskrypcji filtrowania adresów internetowych (URL </w:t>
      </w:r>
      <w:proofErr w:type="spellStart"/>
      <w:r w:rsidRPr="00293C9B">
        <w:rPr>
          <w:rFonts w:asciiTheme="minorHAnsi" w:hAnsiTheme="minorHAnsi" w:cstheme="minorHAnsi"/>
          <w:sz w:val="22"/>
          <w:szCs w:val="22"/>
        </w:rPr>
        <w:t>filtering</w:t>
      </w:r>
      <w:proofErr w:type="spellEnd"/>
      <w:r w:rsidRPr="00293C9B">
        <w:rPr>
          <w:rFonts w:asciiTheme="minorHAnsi" w:hAnsiTheme="minorHAnsi" w:cstheme="minorHAnsi"/>
          <w:sz w:val="22"/>
          <w:szCs w:val="22"/>
        </w:rPr>
        <w:t xml:space="preserve"> with PANDB) dla urządzenia PA-440 przez okres trzech lat od dnia wygaśnięcia aktualnie obowiązującego wsparcia.</w:t>
      </w:r>
    </w:p>
    <w:p w14:paraId="0F525529"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odnowienie subskrypcji wczesnego wykrywania analizy nieznanych zagrożeń (</w:t>
      </w:r>
      <w:proofErr w:type="spellStart"/>
      <w:r w:rsidRPr="00293C9B">
        <w:rPr>
          <w:rFonts w:asciiTheme="minorHAnsi" w:hAnsiTheme="minorHAnsi" w:cstheme="minorHAnsi"/>
          <w:sz w:val="22"/>
          <w:szCs w:val="22"/>
        </w:rPr>
        <w:t>WildFire</w:t>
      </w:r>
      <w:proofErr w:type="spellEnd"/>
      <w:r w:rsidRPr="00293C9B">
        <w:rPr>
          <w:rFonts w:asciiTheme="minorHAnsi" w:hAnsiTheme="minorHAnsi" w:cstheme="minorHAnsi"/>
          <w:sz w:val="22"/>
          <w:szCs w:val="22"/>
        </w:rPr>
        <w:t>) dla urządzenia PA-440 przez okres trzech lat od dnia wygaśnięcia aktualnie obowiązującego wsparcia.</w:t>
      </w:r>
    </w:p>
    <w:p w14:paraId="6499B519"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wsparcia technicznego, gwarancji i serwisu opartego na usługach serwisowych producenta ww. sprzętu (Partner Premium </w:t>
      </w:r>
      <w:proofErr w:type="spellStart"/>
      <w:r w:rsidRPr="00293C9B">
        <w:rPr>
          <w:rFonts w:asciiTheme="minorHAnsi" w:hAnsiTheme="minorHAnsi" w:cstheme="minorHAnsi"/>
          <w:sz w:val="22"/>
          <w:szCs w:val="22"/>
        </w:rPr>
        <w:t>Support</w:t>
      </w:r>
      <w:proofErr w:type="spellEnd"/>
      <w:r w:rsidRPr="00293C9B">
        <w:rPr>
          <w:rFonts w:asciiTheme="minorHAnsi" w:hAnsiTheme="minorHAnsi" w:cstheme="minorHAnsi"/>
          <w:sz w:val="22"/>
          <w:szCs w:val="22"/>
        </w:rPr>
        <w:t>) dla urządzenia PA-440 przez okres trzech lat od dnia wygaśnięcia aktualnie obowiązującego wsparcia.</w:t>
      </w:r>
    </w:p>
    <w:p w14:paraId="77C56A8D" w14:textId="77777777" w:rsidR="002F4F56" w:rsidRPr="00293C9B" w:rsidRDefault="002F4F56" w:rsidP="00293C9B">
      <w:pPr>
        <w:spacing w:line="24" w:lineRule="atLeast"/>
        <w:ind w:left="1134"/>
        <w:rPr>
          <w:rFonts w:asciiTheme="minorHAnsi" w:hAnsiTheme="minorHAnsi" w:cstheme="minorHAnsi"/>
          <w:sz w:val="22"/>
          <w:szCs w:val="22"/>
        </w:rPr>
      </w:pPr>
    </w:p>
    <w:p w14:paraId="6B95A7B2" w14:textId="77777777" w:rsidR="002F4F56" w:rsidRPr="00293C9B" w:rsidRDefault="002F4F56" w:rsidP="00293C9B">
      <w:pPr>
        <w:spacing w:line="24" w:lineRule="atLeast"/>
        <w:ind w:left="851" w:hanging="142"/>
        <w:rPr>
          <w:rFonts w:asciiTheme="minorHAnsi" w:hAnsiTheme="minorHAnsi" w:cstheme="minorHAnsi"/>
          <w:sz w:val="22"/>
          <w:szCs w:val="22"/>
        </w:rPr>
      </w:pPr>
      <w:r w:rsidRPr="00293C9B">
        <w:rPr>
          <w:rFonts w:asciiTheme="minorHAnsi" w:hAnsiTheme="minorHAnsi" w:cstheme="minorHAnsi"/>
          <w:sz w:val="22"/>
          <w:szCs w:val="22"/>
        </w:rPr>
        <w:t xml:space="preserve">2) przedłużenie subskrypcji oraz usługi wsparcia dla urządzenia </w:t>
      </w:r>
      <w:proofErr w:type="spellStart"/>
      <w:r w:rsidRPr="00293C9B">
        <w:rPr>
          <w:rFonts w:asciiTheme="minorHAnsi" w:hAnsiTheme="minorHAnsi" w:cstheme="minorHAnsi"/>
          <w:sz w:val="22"/>
          <w:szCs w:val="22"/>
        </w:rPr>
        <w:t>PaloAlto</w:t>
      </w:r>
      <w:proofErr w:type="spellEnd"/>
      <w:r w:rsidRPr="00293C9B">
        <w:rPr>
          <w:rFonts w:asciiTheme="minorHAnsi" w:hAnsiTheme="minorHAnsi" w:cstheme="minorHAnsi"/>
          <w:sz w:val="22"/>
          <w:szCs w:val="22"/>
        </w:rPr>
        <w:t xml:space="preserve"> 440 na okres 36 miesięcy lub końca jego życia wg danych producenta od dnia wygaśnięcia aktualnie obowiązującego wsparcia.</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11"/>
        <w:gridCol w:w="1417"/>
        <w:gridCol w:w="1701"/>
        <w:gridCol w:w="2126"/>
      </w:tblGrid>
      <w:tr w:rsidR="002F4F56" w:rsidRPr="00293C9B" w14:paraId="74192E0F" w14:textId="77777777" w:rsidTr="005A6247">
        <w:trPr>
          <w:tblHeader/>
        </w:trPr>
        <w:tc>
          <w:tcPr>
            <w:tcW w:w="845" w:type="dxa"/>
            <w:tcBorders>
              <w:top w:val="single" w:sz="4" w:space="0" w:color="auto"/>
              <w:left w:val="single" w:sz="4" w:space="0" w:color="auto"/>
              <w:bottom w:val="single" w:sz="4" w:space="0" w:color="auto"/>
              <w:right w:val="single" w:sz="4" w:space="0" w:color="auto"/>
            </w:tcBorders>
            <w:hideMark/>
          </w:tcPr>
          <w:p w14:paraId="674F36E5"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Lp.</w:t>
            </w:r>
          </w:p>
        </w:tc>
        <w:tc>
          <w:tcPr>
            <w:tcW w:w="4111" w:type="dxa"/>
            <w:tcBorders>
              <w:top w:val="single" w:sz="4" w:space="0" w:color="auto"/>
              <w:left w:val="single" w:sz="4" w:space="0" w:color="auto"/>
              <w:bottom w:val="single" w:sz="4" w:space="0" w:color="auto"/>
              <w:right w:val="single" w:sz="4" w:space="0" w:color="auto"/>
            </w:tcBorders>
            <w:hideMark/>
          </w:tcPr>
          <w:p w14:paraId="64F9EA4C"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Jednostka</w:t>
            </w:r>
          </w:p>
        </w:tc>
        <w:tc>
          <w:tcPr>
            <w:tcW w:w="1417" w:type="dxa"/>
            <w:tcBorders>
              <w:top w:val="single" w:sz="4" w:space="0" w:color="auto"/>
              <w:left w:val="single" w:sz="4" w:space="0" w:color="auto"/>
              <w:bottom w:val="single" w:sz="4" w:space="0" w:color="auto"/>
              <w:right w:val="single" w:sz="4" w:space="0" w:color="auto"/>
            </w:tcBorders>
            <w:hideMark/>
          </w:tcPr>
          <w:p w14:paraId="629E5028"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Nazwa urządzenia</w:t>
            </w:r>
          </w:p>
        </w:tc>
        <w:tc>
          <w:tcPr>
            <w:tcW w:w="1701" w:type="dxa"/>
            <w:tcBorders>
              <w:top w:val="single" w:sz="4" w:space="0" w:color="auto"/>
              <w:left w:val="single" w:sz="4" w:space="0" w:color="auto"/>
              <w:bottom w:val="single" w:sz="4" w:space="0" w:color="auto"/>
              <w:right w:val="single" w:sz="4" w:space="0" w:color="auto"/>
            </w:tcBorders>
            <w:hideMark/>
          </w:tcPr>
          <w:p w14:paraId="6E75F39B"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Numer seryjny</w:t>
            </w:r>
          </w:p>
        </w:tc>
        <w:tc>
          <w:tcPr>
            <w:tcW w:w="2126" w:type="dxa"/>
            <w:tcBorders>
              <w:top w:val="single" w:sz="4" w:space="0" w:color="auto"/>
              <w:left w:val="single" w:sz="4" w:space="0" w:color="auto"/>
              <w:bottom w:val="single" w:sz="4" w:space="0" w:color="auto"/>
              <w:right w:val="single" w:sz="4" w:space="0" w:color="auto"/>
            </w:tcBorders>
            <w:hideMark/>
          </w:tcPr>
          <w:p w14:paraId="3E0F82C9"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Wsparcie ważne do</w:t>
            </w:r>
          </w:p>
        </w:tc>
      </w:tr>
      <w:tr w:rsidR="002F4F56" w:rsidRPr="00293C9B" w14:paraId="7FF96494" w14:textId="77777777" w:rsidTr="005A6247">
        <w:tc>
          <w:tcPr>
            <w:tcW w:w="845" w:type="dxa"/>
            <w:tcBorders>
              <w:top w:val="single" w:sz="4" w:space="0" w:color="auto"/>
              <w:left w:val="single" w:sz="4" w:space="0" w:color="auto"/>
              <w:bottom w:val="single" w:sz="4" w:space="0" w:color="auto"/>
              <w:right w:val="single" w:sz="4" w:space="0" w:color="auto"/>
            </w:tcBorders>
          </w:tcPr>
          <w:p w14:paraId="0508FBE0" w14:textId="77777777" w:rsidR="002F4F56" w:rsidRPr="00293C9B" w:rsidRDefault="002F4F56" w:rsidP="00293C9B">
            <w:pPr>
              <w:numPr>
                <w:ilvl w:val="0"/>
                <w:numId w:val="10"/>
              </w:numPr>
              <w:spacing w:line="24" w:lineRule="atLeast"/>
              <w:rPr>
                <w:rFonts w:asciiTheme="minorHAnsi" w:eastAsia="Calibr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hideMark/>
          </w:tcPr>
          <w:p w14:paraId="44B36EC1"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 xml:space="preserve">Sąd </w:t>
            </w:r>
            <w:r w:rsidRPr="00293C9B">
              <w:rPr>
                <w:rFonts w:asciiTheme="minorHAnsi" w:hAnsiTheme="minorHAnsi" w:cstheme="minorHAnsi"/>
                <w:sz w:val="22"/>
                <w:szCs w:val="22"/>
              </w:rPr>
              <w:t>Apelacyjny w Białymstoku</w:t>
            </w:r>
          </w:p>
        </w:tc>
        <w:tc>
          <w:tcPr>
            <w:tcW w:w="1417" w:type="dxa"/>
            <w:tcBorders>
              <w:top w:val="single" w:sz="4" w:space="0" w:color="auto"/>
              <w:left w:val="single" w:sz="4" w:space="0" w:color="auto"/>
              <w:bottom w:val="single" w:sz="4" w:space="0" w:color="auto"/>
              <w:right w:val="single" w:sz="4" w:space="0" w:color="auto"/>
            </w:tcBorders>
            <w:hideMark/>
          </w:tcPr>
          <w:p w14:paraId="32ACCCAA"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hideMark/>
          </w:tcPr>
          <w:p w14:paraId="2A345479"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021201008441</w:t>
            </w:r>
          </w:p>
        </w:tc>
        <w:tc>
          <w:tcPr>
            <w:tcW w:w="2126" w:type="dxa"/>
            <w:tcBorders>
              <w:top w:val="single" w:sz="4" w:space="0" w:color="auto"/>
              <w:left w:val="single" w:sz="4" w:space="0" w:color="auto"/>
              <w:bottom w:val="single" w:sz="4" w:space="0" w:color="auto"/>
              <w:right w:val="single" w:sz="4" w:space="0" w:color="auto"/>
            </w:tcBorders>
            <w:hideMark/>
          </w:tcPr>
          <w:p w14:paraId="34998112"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24.11.2024</w:t>
            </w:r>
          </w:p>
        </w:tc>
      </w:tr>
      <w:tr w:rsidR="002F4F56" w:rsidRPr="00293C9B" w14:paraId="2443C793" w14:textId="77777777" w:rsidTr="005A6247">
        <w:tc>
          <w:tcPr>
            <w:tcW w:w="845" w:type="dxa"/>
            <w:tcBorders>
              <w:top w:val="single" w:sz="4" w:space="0" w:color="auto"/>
              <w:left w:val="single" w:sz="4" w:space="0" w:color="auto"/>
              <w:bottom w:val="single" w:sz="4" w:space="0" w:color="auto"/>
              <w:right w:val="single" w:sz="4" w:space="0" w:color="auto"/>
            </w:tcBorders>
          </w:tcPr>
          <w:p w14:paraId="1D948830" w14:textId="77777777" w:rsidR="002F4F56" w:rsidRPr="00293C9B" w:rsidRDefault="002F4F56" w:rsidP="00293C9B">
            <w:pPr>
              <w:numPr>
                <w:ilvl w:val="0"/>
                <w:numId w:val="10"/>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66396E2E"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Okręgowy w Łomży</w:t>
            </w:r>
          </w:p>
        </w:tc>
        <w:tc>
          <w:tcPr>
            <w:tcW w:w="1417" w:type="dxa"/>
            <w:tcBorders>
              <w:top w:val="single" w:sz="4" w:space="0" w:color="auto"/>
              <w:left w:val="single" w:sz="4" w:space="0" w:color="auto"/>
              <w:bottom w:val="single" w:sz="4" w:space="0" w:color="auto"/>
              <w:right w:val="single" w:sz="4" w:space="0" w:color="auto"/>
            </w:tcBorders>
          </w:tcPr>
          <w:p w14:paraId="4444C542"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tcPr>
          <w:p w14:paraId="1D505A0F"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021201007881</w:t>
            </w:r>
          </w:p>
        </w:tc>
        <w:tc>
          <w:tcPr>
            <w:tcW w:w="2126" w:type="dxa"/>
            <w:tcBorders>
              <w:top w:val="single" w:sz="4" w:space="0" w:color="auto"/>
              <w:left w:val="single" w:sz="4" w:space="0" w:color="auto"/>
              <w:bottom w:val="single" w:sz="4" w:space="0" w:color="auto"/>
              <w:right w:val="single" w:sz="4" w:space="0" w:color="auto"/>
            </w:tcBorders>
          </w:tcPr>
          <w:p w14:paraId="2E9BA633"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23.11.2024</w:t>
            </w:r>
          </w:p>
        </w:tc>
      </w:tr>
      <w:tr w:rsidR="002F4F56" w:rsidRPr="00293C9B" w14:paraId="1C24538B" w14:textId="77777777" w:rsidTr="005A6247">
        <w:tc>
          <w:tcPr>
            <w:tcW w:w="845" w:type="dxa"/>
            <w:tcBorders>
              <w:top w:val="single" w:sz="4" w:space="0" w:color="auto"/>
              <w:left w:val="single" w:sz="4" w:space="0" w:color="auto"/>
              <w:bottom w:val="single" w:sz="4" w:space="0" w:color="auto"/>
              <w:right w:val="single" w:sz="4" w:space="0" w:color="auto"/>
            </w:tcBorders>
          </w:tcPr>
          <w:p w14:paraId="574C0C19" w14:textId="77777777" w:rsidR="002F4F56" w:rsidRPr="00293C9B" w:rsidRDefault="002F4F56" w:rsidP="00293C9B">
            <w:pPr>
              <w:numPr>
                <w:ilvl w:val="0"/>
                <w:numId w:val="10"/>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1B78EFAE"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Okręgowy w Ostrołęce</w:t>
            </w:r>
          </w:p>
        </w:tc>
        <w:tc>
          <w:tcPr>
            <w:tcW w:w="1417" w:type="dxa"/>
            <w:tcBorders>
              <w:top w:val="single" w:sz="4" w:space="0" w:color="auto"/>
              <w:left w:val="single" w:sz="4" w:space="0" w:color="auto"/>
              <w:bottom w:val="single" w:sz="4" w:space="0" w:color="auto"/>
              <w:right w:val="single" w:sz="4" w:space="0" w:color="auto"/>
            </w:tcBorders>
          </w:tcPr>
          <w:p w14:paraId="098F9C76"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tcPr>
          <w:p w14:paraId="657221D3"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021201008259</w:t>
            </w:r>
          </w:p>
        </w:tc>
        <w:tc>
          <w:tcPr>
            <w:tcW w:w="2126" w:type="dxa"/>
            <w:tcBorders>
              <w:top w:val="single" w:sz="4" w:space="0" w:color="auto"/>
              <w:left w:val="single" w:sz="4" w:space="0" w:color="auto"/>
              <w:bottom w:val="single" w:sz="4" w:space="0" w:color="auto"/>
              <w:right w:val="single" w:sz="4" w:space="0" w:color="auto"/>
            </w:tcBorders>
          </w:tcPr>
          <w:p w14:paraId="66887604"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24.11.2024</w:t>
            </w:r>
          </w:p>
        </w:tc>
      </w:tr>
      <w:tr w:rsidR="002F4F56" w:rsidRPr="00293C9B" w14:paraId="59D16D34" w14:textId="77777777" w:rsidTr="005A6247">
        <w:tc>
          <w:tcPr>
            <w:tcW w:w="845" w:type="dxa"/>
            <w:tcBorders>
              <w:top w:val="single" w:sz="4" w:space="0" w:color="auto"/>
              <w:left w:val="single" w:sz="4" w:space="0" w:color="auto"/>
              <w:bottom w:val="single" w:sz="4" w:space="0" w:color="auto"/>
              <w:right w:val="single" w:sz="4" w:space="0" w:color="auto"/>
            </w:tcBorders>
          </w:tcPr>
          <w:p w14:paraId="38A5B80A" w14:textId="77777777" w:rsidR="002F4F56" w:rsidRPr="00293C9B" w:rsidRDefault="002F4F56" w:rsidP="00293C9B">
            <w:pPr>
              <w:numPr>
                <w:ilvl w:val="0"/>
                <w:numId w:val="10"/>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4892287B"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Okręgowy w Suwałkach</w:t>
            </w:r>
          </w:p>
        </w:tc>
        <w:tc>
          <w:tcPr>
            <w:tcW w:w="1417" w:type="dxa"/>
            <w:tcBorders>
              <w:top w:val="single" w:sz="4" w:space="0" w:color="auto"/>
              <w:left w:val="single" w:sz="4" w:space="0" w:color="auto"/>
              <w:bottom w:val="single" w:sz="4" w:space="0" w:color="auto"/>
              <w:right w:val="single" w:sz="4" w:space="0" w:color="auto"/>
            </w:tcBorders>
          </w:tcPr>
          <w:p w14:paraId="2A27D026"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tcPr>
          <w:p w14:paraId="546916FF"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021201008278</w:t>
            </w:r>
          </w:p>
        </w:tc>
        <w:tc>
          <w:tcPr>
            <w:tcW w:w="2126" w:type="dxa"/>
            <w:tcBorders>
              <w:top w:val="single" w:sz="4" w:space="0" w:color="auto"/>
              <w:left w:val="single" w:sz="4" w:space="0" w:color="auto"/>
              <w:bottom w:val="single" w:sz="4" w:space="0" w:color="auto"/>
              <w:right w:val="single" w:sz="4" w:space="0" w:color="auto"/>
            </w:tcBorders>
          </w:tcPr>
          <w:p w14:paraId="5EA422A1"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25.11.2024</w:t>
            </w:r>
          </w:p>
        </w:tc>
      </w:tr>
      <w:tr w:rsidR="002F4F56" w:rsidRPr="00293C9B" w14:paraId="6455B7BA" w14:textId="77777777" w:rsidTr="005A6247">
        <w:tc>
          <w:tcPr>
            <w:tcW w:w="845" w:type="dxa"/>
            <w:tcBorders>
              <w:top w:val="single" w:sz="4" w:space="0" w:color="auto"/>
              <w:left w:val="single" w:sz="4" w:space="0" w:color="auto"/>
              <w:bottom w:val="single" w:sz="4" w:space="0" w:color="auto"/>
              <w:right w:val="single" w:sz="4" w:space="0" w:color="auto"/>
            </w:tcBorders>
          </w:tcPr>
          <w:p w14:paraId="52574140" w14:textId="77777777" w:rsidR="002F4F56" w:rsidRPr="00293C9B" w:rsidRDefault="002F4F56" w:rsidP="00293C9B">
            <w:pPr>
              <w:numPr>
                <w:ilvl w:val="0"/>
                <w:numId w:val="10"/>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786F1A86"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Rejonowy w Pułtusku</w:t>
            </w:r>
          </w:p>
        </w:tc>
        <w:tc>
          <w:tcPr>
            <w:tcW w:w="1417" w:type="dxa"/>
            <w:tcBorders>
              <w:top w:val="single" w:sz="4" w:space="0" w:color="auto"/>
              <w:left w:val="single" w:sz="4" w:space="0" w:color="auto"/>
              <w:bottom w:val="single" w:sz="4" w:space="0" w:color="auto"/>
              <w:right w:val="single" w:sz="4" w:space="0" w:color="auto"/>
            </w:tcBorders>
          </w:tcPr>
          <w:p w14:paraId="5959848F"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tcPr>
          <w:p w14:paraId="5A3F41C8"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021201008266</w:t>
            </w:r>
          </w:p>
        </w:tc>
        <w:tc>
          <w:tcPr>
            <w:tcW w:w="2126" w:type="dxa"/>
            <w:tcBorders>
              <w:top w:val="single" w:sz="4" w:space="0" w:color="auto"/>
              <w:left w:val="single" w:sz="4" w:space="0" w:color="auto"/>
              <w:bottom w:val="single" w:sz="4" w:space="0" w:color="auto"/>
              <w:right w:val="single" w:sz="4" w:space="0" w:color="auto"/>
            </w:tcBorders>
          </w:tcPr>
          <w:p w14:paraId="47CB7BB5"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25.11.2024</w:t>
            </w:r>
          </w:p>
        </w:tc>
      </w:tr>
      <w:tr w:rsidR="002F4F56" w:rsidRPr="00293C9B" w14:paraId="66839E4A" w14:textId="77777777" w:rsidTr="005A6247">
        <w:tc>
          <w:tcPr>
            <w:tcW w:w="845" w:type="dxa"/>
            <w:tcBorders>
              <w:top w:val="single" w:sz="4" w:space="0" w:color="auto"/>
              <w:left w:val="single" w:sz="4" w:space="0" w:color="auto"/>
              <w:bottom w:val="single" w:sz="4" w:space="0" w:color="auto"/>
              <w:right w:val="single" w:sz="4" w:space="0" w:color="auto"/>
            </w:tcBorders>
          </w:tcPr>
          <w:p w14:paraId="477646C4" w14:textId="77777777" w:rsidR="002F4F56" w:rsidRPr="00293C9B" w:rsidRDefault="002F4F56" w:rsidP="00293C9B">
            <w:pPr>
              <w:numPr>
                <w:ilvl w:val="0"/>
                <w:numId w:val="10"/>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1F85B222"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Rejonowy w Ostrowi Mazowieckiej</w:t>
            </w:r>
          </w:p>
        </w:tc>
        <w:tc>
          <w:tcPr>
            <w:tcW w:w="1417" w:type="dxa"/>
            <w:tcBorders>
              <w:top w:val="single" w:sz="4" w:space="0" w:color="auto"/>
              <w:left w:val="single" w:sz="4" w:space="0" w:color="auto"/>
              <w:bottom w:val="single" w:sz="4" w:space="0" w:color="auto"/>
              <w:right w:val="single" w:sz="4" w:space="0" w:color="auto"/>
            </w:tcBorders>
          </w:tcPr>
          <w:p w14:paraId="670F8F87"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tcPr>
          <w:p w14:paraId="5B020B54"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021201090052</w:t>
            </w:r>
          </w:p>
        </w:tc>
        <w:tc>
          <w:tcPr>
            <w:tcW w:w="2126" w:type="dxa"/>
            <w:tcBorders>
              <w:top w:val="single" w:sz="4" w:space="0" w:color="auto"/>
              <w:left w:val="single" w:sz="4" w:space="0" w:color="auto"/>
              <w:bottom w:val="single" w:sz="4" w:space="0" w:color="auto"/>
              <w:right w:val="single" w:sz="4" w:space="0" w:color="auto"/>
            </w:tcBorders>
          </w:tcPr>
          <w:p w14:paraId="787974D2"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23.11.2024</w:t>
            </w:r>
          </w:p>
        </w:tc>
      </w:tr>
      <w:tr w:rsidR="002F4F56" w:rsidRPr="00293C9B" w14:paraId="25A1F72A" w14:textId="77777777" w:rsidTr="005A6247">
        <w:tc>
          <w:tcPr>
            <w:tcW w:w="845" w:type="dxa"/>
            <w:tcBorders>
              <w:top w:val="single" w:sz="4" w:space="0" w:color="auto"/>
              <w:left w:val="single" w:sz="4" w:space="0" w:color="auto"/>
              <w:bottom w:val="single" w:sz="4" w:space="0" w:color="auto"/>
              <w:right w:val="single" w:sz="4" w:space="0" w:color="auto"/>
            </w:tcBorders>
          </w:tcPr>
          <w:p w14:paraId="625C5C6A" w14:textId="77777777" w:rsidR="002F4F56" w:rsidRPr="00293C9B" w:rsidRDefault="002F4F56" w:rsidP="00293C9B">
            <w:pPr>
              <w:numPr>
                <w:ilvl w:val="0"/>
                <w:numId w:val="10"/>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0C523F0E"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Rejonowy w Olecku</w:t>
            </w:r>
          </w:p>
        </w:tc>
        <w:tc>
          <w:tcPr>
            <w:tcW w:w="1417" w:type="dxa"/>
            <w:tcBorders>
              <w:top w:val="single" w:sz="4" w:space="0" w:color="auto"/>
              <w:left w:val="single" w:sz="4" w:space="0" w:color="auto"/>
              <w:bottom w:val="single" w:sz="4" w:space="0" w:color="auto"/>
              <w:right w:val="single" w:sz="4" w:space="0" w:color="auto"/>
            </w:tcBorders>
          </w:tcPr>
          <w:p w14:paraId="4A49A8D1"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440</w:t>
            </w:r>
          </w:p>
        </w:tc>
        <w:tc>
          <w:tcPr>
            <w:tcW w:w="1701" w:type="dxa"/>
            <w:tcBorders>
              <w:top w:val="single" w:sz="4" w:space="0" w:color="auto"/>
              <w:left w:val="single" w:sz="4" w:space="0" w:color="auto"/>
              <w:bottom w:val="single" w:sz="4" w:space="0" w:color="auto"/>
              <w:right w:val="single" w:sz="4" w:space="0" w:color="auto"/>
            </w:tcBorders>
          </w:tcPr>
          <w:p w14:paraId="06DE44A1"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021201008347</w:t>
            </w:r>
          </w:p>
        </w:tc>
        <w:tc>
          <w:tcPr>
            <w:tcW w:w="2126" w:type="dxa"/>
            <w:tcBorders>
              <w:top w:val="single" w:sz="4" w:space="0" w:color="auto"/>
              <w:left w:val="single" w:sz="4" w:space="0" w:color="auto"/>
              <w:bottom w:val="single" w:sz="4" w:space="0" w:color="auto"/>
              <w:right w:val="single" w:sz="4" w:space="0" w:color="auto"/>
            </w:tcBorders>
          </w:tcPr>
          <w:p w14:paraId="17FB7AC8"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24.11.2024</w:t>
            </w:r>
          </w:p>
        </w:tc>
      </w:tr>
    </w:tbl>
    <w:p w14:paraId="5193DC0D"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odnowienie subskrypcji zapobiegania zagrożeń (</w:t>
      </w:r>
      <w:proofErr w:type="spellStart"/>
      <w:r w:rsidRPr="00293C9B">
        <w:rPr>
          <w:rFonts w:asciiTheme="minorHAnsi" w:hAnsiTheme="minorHAnsi" w:cstheme="minorHAnsi"/>
          <w:sz w:val="22"/>
          <w:szCs w:val="22"/>
        </w:rPr>
        <w:t>Threat</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prevention</w:t>
      </w:r>
      <w:proofErr w:type="spellEnd"/>
      <w:r w:rsidRPr="00293C9B">
        <w:rPr>
          <w:rFonts w:asciiTheme="minorHAnsi" w:hAnsiTheme="minorHAnsi" w:cstheme="minorHAnsi"/>
          <w:sz w:val="22"/>
          <w:szCs w:val="22"/>
        </w:rPr>
        <w:t>) dla urządzenia PA-440 przez okres trzech lat od dnia wygaśnięcia aktualnie obowiązującego wsparcia.</w:t>
      </w:r>
    </w:p>
    <w:p w14:paraId="306DB7BD"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subskrypcji filtrowania adresów internetowych (URL </w:t>
      </w:r>
      <w:proofErr w:type="spellStart"/>
      <w:r w:rsidRPr="00293C9B">
        <w:rPr>
          <w:rFonts w:asciiTheme="minorHAnsi" w:hAnsiTheme="minorHAnsi" w:cstheme="minorHAnsi"/>
          <w:sz w:val="22"/>
          <w:szCs w:val="22"/>
        </w:rPr>
        <w:t>filtering</w:t>
      </w:r>
      <w:proofErr w:type="spellEnd"/>
      <w:r w:rsidRPr="00293C9B">
        <w:rPr>
          <w:rFonts w:asciiTheme="minorHAnsi" w:hAnsiTheme="minorHAnsi" w:cstheme="minorHAnsi"/>
          <w:sz w:val="22"/>
          <w:szCs w:val="22"/>
        </w:rPr>
        <w:t xml:space="preserve"> with PANDB) dla urządzenia PA-440 przez okres trzech lat od dnia wygaśnięcia aktualnie obowiązującego wsparcia.</w:t>
      </w:r>
    </w:p>
    <w:p w14:paraId="7C2E9F67"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odnowienie subskrypcji wczesnego wykrywania analizy nieznanych zagrożeń (</w:t>
      </w:r>
      <w:proofErr w:type="spellStart"/>
      <w:r w:rsidRPr="00293C9B">
        <w:rPr>
          <w:rFonts w:asciiTheme="minorHAnsi" w:hAnsiTheme="minorHAnsi" w:cstheme="minorHAnsi"/>
          <w:sz w:val="22"/>
          <w:szCs w:val="22"/>
        </w:rPr>
        <w:t>WildFire</w:t>
      </w:r>
      <w:proofErr w:type="spellEnd"/>
      <w:r w:rsidRPr="00293C9B">
        <w:rPr>
          <w:rFonts w:asciiTheme="minorHAnsi" w:hAnsiTheme="minorHAnsi" w:cstheme="minorHAnsi"/>
          <w:sz w:val="22"/>
          <w:szCs w:val="22"/>
        </w:rPr>
        <w:t>) dla urządzenia PA-440 przez okres trzech lat od dnia wygaśnięcia aktualnie obowiązującego wsparcia.</w:t>
      </w:r>
    </w:p>
    <w:p w14:paraId="23A63924"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wsparcia technicznego, gwarancji i serwisu opartego na usługach serwisowych producenta ww. sprzętu (Partner Premium </w:t>
      </w:r>
      <w:proofErr w:type="spellStart"/>
      <w:r w:rsidRPr="00293C9B">
        <w:rPr>
          <w:rFonts w:asciiTheme="minorHAnsi" w:hAnsiTheme="minorHAnsi" w:cstheme="minorHAnsi"/>
          <w:sz w:val="22"/>
          <w:szCs w:val="22"/>
        </w:rPr>
        <w:t>Support</w:t>
      </w:r>
      <w:proofErr w:type="spellEnd"/>
      <w:r w:rsidRPr="00293C9B">
        <w:rPr>
          <w:rFonts w:asciiTheme="minorHAnsi" w:hAnsiTheme="minorHAnsi" w:cstheme="minorHAnsi"/>
          <w:sz w:val="22"/>
          <w:szCs w:val="22"/>
        </w:rPr>
        <w:t>) dla urządzenia PA-440 przez okres trzech lat od dnia wygaśnięcia aktualnie obowiązującego wsparcia.</w:t>
      </w:r>
    </w:p>
    <w:p w14:paraId="3AEAE455" w14:textId="77777777" w:rsidR="002F4F56" w:rsidRPr="00293C9B" w:rsidRDefault="002F4F56" w:rsidP="00293C9B">
      <w:pPr>
        <w:spacing w:line="24" w:lineRule="atLeast"/>
        <w:ind w:left="1134"/>
        <w:rPr>
          <w:rFonts w:asciiTheme="minorHAnsi" w:hAnsiTheme="minorHAnsi" w:cstheme="minorHAnsi"/>
          <w:sz w:val="22"/>
          <w:szCs w:val="22"/>
        </w:rPr>
      </w:pPr>
    </w:p>
    <w:p w14:paraId="60466AF1" w14:textId="77777777" w:rsidR="002F4F56" w:rsidRPr="00293C9B" w:rsidRDefault="002F4F56" w:rsidP="00293C9B">
      <w:p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 xml:space="preserve">3) przedłużenie subskrypcji oraz usługi wsparcia dla urządzenia </w:t>
      </w:r>
      <w:proofErr w:type="spellStart"/>
      <w:r w:rsidRPr="00293C9B">
        <w:rPr>
          <w:rFonts w:asciiTheme="minorHAnsi" w:hAnsiTheme="minorHAnsi" w:cstheme="minorHAnsi"/>
          <w:sz w:val="22"/>
          <w:szCs w:val="22"/>
        </w:rPr>
        <w:t>PaloAlto</w:t>
      </w:r>
      <w:proofErr w:type="spellEnd"/>
      <w:r w:rsidRPr="00293C9B">
        <w:rPr>
          <w:rFonts w:asciiTheme="minorHAnsi" w:hAnsiTheme="minorHAnsi" w:cstheme="minorHAnsi"/>
          <w:sz w:val="22"/>
          <w:szCs w:val="22"/>
        </w:rPr>
        <w:t xml:space="preserve"> 820 na okres 36 miesięcy lub końca jego życia wg danych producenta od dnia wygaśnięcia aktualnie obowiązującego wsparcia.</w:t>
      </w:r>
    </w:p>
    <w:p w14:paraId="08818622" w14:textId="77777777" w:rsidR="002F4F56" w:rsidRPr="00293C9B" w:rsidRDefault="002F4F56" w:rsidP="00293C9B">
      <w:pPr>
        <w:spacing w:line="24" w:lineRule="atLeast"/>
        <w:rPr>
          <w:rFonts w:asciiTheme="minorHAnsi" w:hAnsiTheme="minorHAnsi" w:cstheme="minorHAnsi"/>
          <w:sz w:val="22"/>
          <w:szCs w:val="22"/>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11"/>
        <w:gridCol w:w="1417"/>
        <w:gridCol w:w="1701"/>
        <w:gridCol w:w="2126"/>
      </w:tblGrid>
      <w:tr w:rsidR="002F4F56" w:rsidRPr="00293C9B" w14:paraId="33210D79" w14:textId="77777777" w:rsidTr="005A6247">
        <w:trPr>
          <w:tblHeader/>
        </w:trPr>
        <w:tc>
          <w:tcPr>
            <w:tcW w:w="845" w:type="dxa"/>
            <w:tcBorders>
              <w:top w:val="single" w:sz="4" w:space="0" w:color="auto"/>
              <w:left w:val="single" w:sz="4" w:space="0" w:color="auto"/>
              <w:bottom w:val="single" w:sz="4" w:space="0" w:color="auto"/>
              <w:right w:val="single" w:sz="4" w:space="0" w:color="auto"/>
            </w:tcBorders>
            <w:hideMark/>
          </w:tcPr>
          <w:p w14:paraId="6C036D03"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Lp.</w:t>
            </w:r>
          </w:p>
        </w:tc>
        <w:tc>
          <w:tcPr>
            <w:tcW w:w="4111" w:type="dxa"/>
            <w:tcBorders>
              <w:top w:val="single" w:sz="4" w:space="0" w:color="auto"/>
              <w:left w:val="single" w:sz="4" w:space="0" w:color="auto"/>
              <w:bottom w:val="single" w:sz="4" w:space="0" w:color="auto"/>
              <w:right w:val="single" w:sz="4" w:space="0" w:color="auto"/>
            </w:tcBorders>
            <w:hideMark/>
          </w:tcPr>
          <w:p w14:paraId="5A7A01CD"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Jednostka</w:t>
            </w:r>
          </w:p>
        </w:tc>
        <w:tc>
          <w:tcPr>
            <w:tcW w:w="1417" w:type="dxa"/>
            <w:tcBorders>
              <w:top w:val="single" w:sz="4" w:space="0" w:color="auto"/>
              <w:left w:val="single" w:sz="4" w:space="0" w:color="auto"/>
              <w:bottom w:val="single" w:sz="4" w:space="0" w:color="auto"/>
              <w:right w:val="single" w:sz="4" w:space="0" w:color="auto"/>
            </w:tcBorders>
            <w:hideMark/>
          </w:tcPr>
          <w:p w14:paraId="15A3FD1A"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Nazwa urządzenia</w:t>
            </w:r>
          </w:p>
        </w:tc>
        <w:tc>
          <w:tcPr>
            <w:tcW w:w="1701" w:type="dxa"/>
            <w:tcBorders>
              <w:top w:val="single" w:sz="4" w:space="0" w:color="auto"/>
              <w:left w:val="single" w:sz="4" w:space="0" w:color="auto"/>
              <w:bottom w:val="single" w:sz="4" w:space="0" w:color="auto"/>
              <w:right w:val="single" w:sz="4" w:space="0" w:color="auto"/>
            </w:tcBorders>
            <w:hideMark/>
          </w:tcPr>
          <w:p w14:paraId="4F3189F0"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Numer seryjny</w:t>
            </w:r>
          </w:p>
        </w:tc>
        <w:tc>
          <w:tcPr>
            <w:tcW w:w="2126" w:type="dxa"/>
            <w:tcBorders>
              <w:top w:val="single" w:sz="4" w:space="0" w:color="auto"/>
              <w:left w:val="single" w:sz="4" w:space="0" w:color="auto"/>
              <w:bottom w:val="single" w:sz="4" w:space="0" w:color="auto"/>
              <w:right w:val="single" w:sz="4" w:space="0" w:color="auto"/>
            </w:tcBorders>
            <w:hideMark/>
          </w:tcPr>
          <w:p w14:paraId="3A859E92"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Wsparcie ważne do</w:t>
            </w:r>
          </w:p>
        </w:tc>
      </w:tr>
      <w:tr w:rsidR="002F4F56" w:rsidRPr="00293C9B" w14:paraId="6FACA636" w14:textId="77777777" w:rsidTr="005A6247">
        <w:tc>
          <w:tcPr>
            <w:tcW w:w="845" w:type="dxa"/>
            <w:tcBorders>
              <w:top w:val="single" w:sz="4" w:space="0" w:color="auto"/>
              <w:left w:val="single" w:sz="4" w:space="0" w:color="auto"/>
              <w:bottom w:val="single" w:sz="4" w:space="0" w:color="auto"/>
              <w:right w:val="single" w:sz="4" w:space="0" w:color="auto"/>
            </w:tcBorders>
          </w:tcPr>
          <w:p w14:paraId="160EAAE9" w14:textId="77777777" w:rsidR="002F4F56" w:rsidRPr="00293C9B" w:rsidRDefault="002F4F56" w:rsidP="00293C9B">
            <w:pPr>
              <w:numPr>
                <w:ilvl w:val="0"/>
                <w:numId w:val="26"/>
              </w:numPr>
              <w:spacing w:line="24" w:lineRule="atLeast"/>
              <w:rPr>
                <w:rFonts w:asciiTheme="minorHAnsi" w:eastAsia="Calibr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hideMark/>
          </w:tcPr>
          <w:p w14:paraId="4BBF58DA"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 xml:space="preserve">Sąd </w:t>
            </w:r>
            <w:r w:rsidRPr="00293C9B">
              <w:rPr>
                <w:rFonts w:asciiTheme="minorHAnsi" w:hAnsiTheme="minorHAnsi" w:cstheme="minorHAnsi"/>
                <w:sz w:val="22"/>
                <w:szCs w:val="22"/>
              </w:rPr>
              <w:t>Okręgowy w Olsztynie</w:t>
            </w:r>
          </w:p>
        </w:tc>
        <w:tc>
          <w:tcPr>
            <w:tcW w:w="1417" w:type="dxa"/>
            <w:tcBorders>
              <w:top w:val="single" w:sz="4" w:space="0" w:color="auto"/>
              <w:left w:val="single" w:sz="4" w:space="0" w:color="auto"/>
              <w:bottom w:val="single" w:sz="4" w:space="0" w:color="auto"/>
              <w:right w:val="single" w:sz="4" w:space="0" w:color="auto"/>
            </w:tcBorders>
            <w:hideMark/>
          </w:tcPr>
          <w:p w14:paraId="06C0837B"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820</w:t>
            </w:r>
          </w:p>
        </w:tc>
        <w:tc>
          <w:tcPr>
            <w:tcW w:w="1701" w:type="dxa"/>
            <w:tcBorders>
              <w:top w:val="single" w:sz="4" w:space="0" w:color="auto"/>
              <w:left w:val="single" w:sz="4" w:space="0" w:color="auto"/>
              <w:bottom w:val="single" w:sz="4" w:space="0" w:color="auto"/>
              <w:right w:val="single" w:sz="4" w:space="0" w:color="auto"/>
            </w:tcBorders>
            <w:hideMark/>
          </w:tcPr>
          <w:p w14:paraId="2280C8D2"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012001036376</w:t>
            </w:r>
          </w:p>
        </w:tc>
        <w:tc>
          <w:tcPr>
            <w:tcW w:w="2126" w:type="dxa"/>
            <w:tcBorders>
              <w:top w:val="single" w:sz="4" w:space="0" w:color="auto"/>
              <w:left w:val="single" w:sz="4" w:space="0" w:color="auto"/>
              <w:bottom w:val="single" w:sz="4" w:space="0" w:color="auto"/>
              <w:right w:val="single" w:sz="4" w:space="0" w:color="auto"/>
            </w:tcBorders>
            <w:hideMark/>
          </w:tcPr>
          <w:p w14:paraId="41A4F08A"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22.12.2024</w:t>
            </w:r>
          </w:p>
        </w:tc>
      </w:tr>
      <w:tr w:rsidR="002F4F56" w:rsidRPr="00293C9B" w14:paraId="7DF34252" w14:textId="77777777" w:rsidTr="005A6247">
        <w:tc>
          <w:tcPr>
            <w:tcW w:w="845" w:type="dxa"/>
            <w:tcBorders>
              <w:top w:val="single" w:sz="4" w:space="0" w:color="auto"/>
              <w:left w:val="single" w:sz="4" w:space="0" w:color="auto"/>
              <w:bottom w:val="single" w:sz="4" w:space="0" w:color="auto"/>
              <w:right w:val="single" w:sz="4" w:space="0" w:color="auto"/>
            </w:tcBorders>
          </w:tcPr>
          <w:p w14:paraId="4D715BC7" w14:textId="77777777" w:rsidR="002F4F56" w:rsidRPr="00293C9B" w:rsidRDefault="002F4F56" w:rsidP="00293C9B">
            <w:pPr>
              <w:numPr>
                <w:ilvl w:val="0"/>
                <w:numId w:val="26"/>
              </w:numPr>
              <w:spacing w:line="24" w:lineRule="atLeast"/>
              <w:rPr>
                <w:rFonts w:asciiTheme="minorHAns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tcPr>
          <w:p w14:paraId="10DACC5E"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Sąd Rejonowy w Olsztynie</w:t>
            </w:r>
          </w:p>
        </w:tc>
        <w:tc>
          <w:tcPr>
            <w:tcW w:w="1417" w:type="dxa"/>
            <w:tcBorders>
              <w:top w:val="single" w:sz="4" w:space="0" w:color="auto"/>
              <w:left w:val="single" w:sz="4" w:space="0" w:color="auto"/>
              <w:bottom w:val="single" w:sz="4" w:space="0" w:color="auto"/>
              <w:right w:val="single" w:sz="4" w:space="0" w:color="auto"/>
            </w:tcBorders>
          </w:tcPr>
          <w:p w14:paraId="34DEFB48"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820</w:t>
            </w:r>
          </w:p>
        </w:tc>
        <w:tc>
          <w:tcPr>
            <w:tcW w:w="1701" w:type="dxa"/>
            <w:tcBorders>
              <w:top w:val="single" w:sz="4" w:space="0" w:color="auto"/>
              <w:left w:val="single" w:sz="4" w:space="0" w:color="auto"/>
              <w:bottom w:val="single" w:sz="4" w:space="0" w:color="auto"/>
              <w:right w:val="single" w:sz="4" w:space="0" w:color="auto"/>
            </w:tcBorders>
          </w:tcPr>
          <w:p w14:paraId="695AB76B"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012001008153</w:t>
            </w:r>
          </w:p>
        </w:tc>
        <w:tc>
          <w:tcPr>
            <w:tcW w:w="2126" w:type="dxa"/>
            <w:tcBorders>
              <w:top w:val="single" w:sz="4" w:space="0" w:color="auto"/>
              <w:left w:val="single" w:sz="4" w:space="0" w:color="auto"/>
              <w:bottom w:val="single" w:sz="4" w:space="0" w:color="auto"/>
              <w:right w:val="single" w:sz="4" w:space="0" w:color="auto"/>
            </w:tcBorders>
          </w:tcPr>
          <w:p w14:paraId="583B81E6"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22.12.2024</w:t>
            </w:r>
          </w:p>
        </w:tc>
      </w:tr>
    </w:tbl>
    <w:p w14:paraId="784447F6"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odnowienie subskrypcji zapobiegania zagrożeń (</w:t>
      </w:r>
      <w:proofErr w:type="spellStart"/>
      <w:r w:rsidRPr="00293C9B">
        <w:rPr>
          <w:rFonts w:asciiTheme="minorHAnsi" w:hAnsiTheme="minorHAnsi" w:cstheme="minorHAnsi"/>
          <w:sz w:val="22"/>
          <w:szCs w:val="22"/>
        </w:rPr>
        <w:t>Threat</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prevention</w:t>
      </w:r>
      <w:proofErr w:type="spellEnd"/>
      <w:r w:rsidRPr="00293C9B">
        <w:rPr>
          <w:rFonts w:asciiTheme="minorHAnsi" w:hAnsiTheme="minorHAnsi" w:cstheme="minorHAnsi"/>
          <w:sz w:val="22"/>
          <w:szCs w:val="22"/>
        </w:rPr>
        <w:t>) dla urządzenia PA-820 przez okres trzech lat od dnia wygaśnięcia aktualnie obowiązującego wsparcia.</w:t>
      </w:r>
    </w:p>
    <w:p w14:paraId="6E899217"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subskrypcji filtrowania adresów internetowych (URL </w:t>
      </w:r>
      <w:proofErr w:type="spellStart"/>
      <w:r w:rsidRPr="00293C9B">
        <w:rPr>
          <w:rFonts w:asciiTheme="minorHAnsi" w:hAnsiTheme="minorHAnsi" w:cstheme="minorHAnsi"/>
          <w:sz w:val="22"/>
          <w:szCs w:val="22"/>
        </w:rPr>
        <w:t>filtering</w:t>
      </w:r>
      <w:proofErr w:type="spellEnd"/>
      <w:r w:rsidRPr="00293C9B">
        <w:rPr>
          <w:rFonts w:asciiTheme="minorHAnsi" w:hAnsiTheme="minorHAnsi" w:cstheme="minorHAnsi"/>
          <w:sz w:val="22"/>
          <w:szCs w:val="22"/>
        </w:rPr>
        <w:t xml:space="preserve"> with PANDB) dla urządzenia PA-820 przez okres trzech lat od dnia wygaśnięcia aktualnie obowiązującego wsparcia.</w:t>
      </w:r>
    </w:p>
    <w:p w14:paraId="2EB66196"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odnowienie subskrypcji wczesnego wykrywania analizy nieznanych zagrożeń (</w:t>
      </w:r>
      <w:proofErr w:type="spellStart"/>
      <w:r w:rsidRPr="00293C9B">
        <w:rPr>
          <w:rFonts w:asciiTheme="minorHAnsi" w:hAnsiTheme="minorHAnsi" w:cstheme="minorHAnsi"/>
          <w:sz w:val="22"/>
          <w:szCs w:val="22"/>
        </w:rPr>
        <w:t>WildFire</w:t>
      </w:r>
      <w:proofErr w:type="spellEnd"/>
      <w:r w:rsidRPr="00293C9B">
        <w:rPr>
          <w:rFonts w:asciiTheme="minorHAnsi" w:hAnsiTheme="minorHAnsi" w:cstheme="minorHAnsi"/>
          <w:sz w:val="22"/>
          <w:szCs w:val="22"/>
        </w:rPr>
        <w:t>) dla urządzenia PA-820 przez okres trzech lat od dnia wygaśnięcia aktualnie obowiązującego wsparcia.</w:t>
      </w:r>
    </w:p>
    <w:p w14:paraId="25CA7A41"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wsparcia technicznego, gwarancji i serwisu opartego na usługach serwisowych producenta ww. sprzętu (Partner Premium </w:t>
      </w:r>
      <w:proofErr w:type="spellStart"/>
      <w:r w:rsidRPr="00293C9B">
        <w:rPr>
          <w:rFonts w:asciiTheme="minorHAnsi" w:hAnsiTheme="minorHAnsi" w:cstheme="minorHAnsi"/>
          <w:sz w:val="22"/>
          <w:szCs w:val="22"/>
        </w:rPr>
        <w:t>Support</w:t>
      </w:r>
      <w:proofErr w:type="spellEnd"/>
      <w:r w:rsidRPr="00293C9B">
        <w:rPr>
          <w:rFonts w:asciiTheme="minorHAnsi" w:hAnsiTheme="minorHAnsi" w:cstheme="minorHAnsi"/>
          <w:sz w:val="22"/>
          <w:szCs w:val="22"/>
        </w:rPr>
        <w:t>) dla urządzenia PA-820 przez okres trzech lat od dnia wygaśnięcia aktualnie obowiązującego wsparcia.</w:t>
      </w:r>
    </w:p>
    <w:p w14:paraId="63C0E362" w14:textId="77777777" w:rsidR="002F4F56" w:rsidRPr="00293C9B" w:rsidRDefault="002F4F56" w:rsidP="00293C9B">
      <w:pPr>
        <w:spacing w:line="24" w:lineRule="atLeast"/>
        <w:rPr>
          <w:rFonts w:asciiTheme="minorHAnsi" w:hAnsiTheme="minorHAnsi" w:cstheme="minorHAnsi"/>
          <w:b/>
          <w:sz w:val="22"/>
          <w:szCs w:val="22"/>
          <w:u w:val="single"/>
        </w:rPr>
      </w:pPr>
      <w:r w:rsidRPr="00293C9B">
        <w:rPr>
          <w:rFonts w:asciiTheme="minorHAnsi" w:hAnsiTheme="minorHAnsi" w:cstheme="minorHAnsi"/>
          <w:b/>
          <w:sz w:val="22"/>
          <w:szCs w:val="22"/>
          <w:u w:val="single"/>
        </w:rPr>
        <w:t>Dodatkowe wymagania do całego (wszystkich części) przedmiotu zamówienia.</w:t>
      </w:r>
    </w:p>
    <w:p w14:paraId="79E00349"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W ramach wsparcia, o którym mowa w pkt. 1-2 opisu przedmiotu zamówienia Zamawiającemu zostanie zapewnione wsparcie przez autoryzowanego, certyfikowanego przez producenta partnera rozwiązania. Incydenty wymagające interwencji serwisowych Zamawiający będzie mógł zgłosić telefonicznie, drogą mailową lub przez system zgłoszeń (</w:t>
      </w:r>
      <w:proofErr w:type="spellStart"/>
      <w:r w:rsidRPr="00293C9B">
        <w:rPr>
          <w:rFonts w:asciiTheme="minorHAnsi" w:hAnsiTheme="minorHAnsi" w:cstheme="minorHAnsi"/>
          <w:sz w:val="22"/>
          <w:szCs w:val="22"/>
        </w:rPr>
        <w:t>servicedesk</w:t>
      </w:r>
      <w:proofErr w:type="spellEnd"/>
      <w:r w:rsidRPr="00293C9B">
        <w:rPr>
          <w:rFonts w:asciiTheme="minorHAnsi" w:hAnsiTheme="minorHAnsi" w:cstheme="minorHAnsi"/>
          <w:sz w:val="22"/>
          <w:szCs w:val="22"/>
        </w:rPr>
        <w:t>) Wykonawcy lub Producenta. Zamawiający otrzyma możliwość korzystania z następujących usług świadczonych przez producenta:</w:t>
      </w:r>
    </w:p>
    <w:p w14:paraId="21EAFBCF"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 xml:space="preserve">aktualizacji oprogramowania </w:t>
      </w:r>
      <w:proofErr w:type="spellStart"/>
      <w:r w:rsidRPr="00293C9B">
        <w:rPr>
          <w:rFonts w:asciiTheme="minorHAnsi" w:hAnsiTheme="minorHAnsi" w:cstheme="minorHAnsi"/>
          <w:sz w:val="22"/>
          <w:szCs w:val="22"/>
        </w:rPr>
        <w:t>firmware</w:t>
      </w:r>
      <w:proofErr w:type="spellEnd"/>
      <w:r w:rsidRPr="00293C9B">
        <w:rPr>
          <w:rFonts w:asciiTheme="minorHAnsi" w:hAnsiTheme="minorHAnsi" w:cstheme="minorHAnsi"/>
          <w:sz w:val="22"/>
          <w:szCs w:val="22"/>
        </w:rPr>
        <w:t xml:space="preserve"> do najnowszych wersji publikowanych przez producenta,</w:t>
      </w:r>
    </w:p>
    <w:p w14:paraId="4ECB0A71"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bazy wirusów,</w:t>
      </w:r>
    </w:p>
    <w:p w14:paraId="5E5C6D83"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bazy definicji IPS (</w:t>
      </w:r>
      <w:proofErr w:type="spellStart"/>
      <w:r w:rsidRPr="00293C9B">
        <w:rPr>
          <w:rFonts w:asciiTheme="minorHAnsi" w:hAnsiTheme="minorHAnsi" w:cstheme="minorHAnsi"/>
          <w:sz w:val="22"/>
          <w:szCs w:val="22"/>
        </w:rPr>
        <w:t>Intrusion</w:t>
      </w:r>
      <w:proofErr w:type="spellEnd"/>
      <w:r w:rsidRPr="00293C9B">
        <w:rPr>
          <w:rFonts w:asciiTheme="minorHAnsi" w:hAnsiTheme="minorHAnsi" w:cstheme="minorHAnsi"/>
          <w:sz w:val="22"/>
          <w:szCs w:val="22"/>
        </w:rPr>
        <w:t xml:space="preserve"> </w:t>
      </w:r>
      <w:proofErr w:type="spellStart"/>
      <w:r w:rsidRPr="00293C9B">
        <w:rPr>
          <w:rFonts w:asciiTheme="minorHAnsi" w:hAnsiTheme="minorHAnsi" w:cstheme="minorHAnsi"/>
          <w:sz w:val="22"/>
          <w:szCs w:val="22"/>
        </w:rPr>
        <w:t>Prevention</w:t>
      </w:r>
      <w:proofErr w:type="spellEnd"/>
      <w:r w:rsidRPr="00293C9B">
        <w:rPr>
          <w:rFonts w:asciiTheme="minorHAnsi" w:hAnsiTheme="minorHAnsi" w:cstheme="minorHAnsi"/>
          <w:sz w:val="22"/>
          <w:szCs w:val="22"/>
        </w:rPr>
        <w:t xml:space="preserve"> System),</w:t>
      </w:r>
    </w:p>
    <w:p w14:paraId="1AE219FA"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bazy sygnatur anty-spyware,</w:t>
      </w:r>
    </w:p>
    <w:p w14:paraId="6F0B480F"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sygnatur aplikacji,</w:t>
      </w:r>
    </w:p>
    <w:p w14:paraId="1ED86927"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 xml:space="preserve">aktualizacja sygnatur oraz dostęp do środowiska </w:t>
      </w:r>
      <w:proofErr w:type="spellStart"/>
      <w:r w:rsidRPr="00293C9B">
        <w:rPr>
          <w:rFonts w:asciiTheme="minorHAnsi" w:hAnsiTheme="minorHAnsi" w:cstheme="minorHAnsi"/>
          <w:sz w:val="22"/>
          <w:szCs w:val="22"/>
        </w:rPr>
        <w:t>Wildfire</w:t>
      </w:r>
      <w:proofErr w:type="spellEnd"/>
      <w:r w:rsidRPr="00293C9B">
        <w:rPr>
          <w:rFonts w:asciiTheme="minorHAnsi" w:hAnsiTheme="minorHAnsi" w:cstheme="minorHAnsi"/>
          <w:sz w:val="22"/>
          <w:szCs w:val="22"/>
        </w:rPr>
        <w:t>,</w:t>
      </w:r>
    </w:p>
    <w:p w14:paraId="6F46C0D3"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dostępu do baz wiedzy, dokumentacji technicznych, przewodników konfiguracyjnych i narzędzi diagnostycznych.</w:t>
      </w:r>
    </w:p>
    <w:p w14:paraId="08605FAF" w14:textId="5E908B46" w:rsidR="002F4F56" w:rsidRPr="00293C9B" w:rsidRDefault="002F4F56" w:rsidP="00293C9B">
      <w:pPr>
        <w:spacing w:line="24" w:lineRule="atLeast"/>
        <w:rPr>
          <w:rFonts w:asciiTheme="minorHAnsi" w:hAnsiTheme="minorHAnsi" w:cstheme="minorHAnsi"/>
          <w:sz w:val="22"/>
          <w:szCs w:val="22"/>
        </w:rPr>
      </w:pPr>
    </w:p>
    <w:p w14:paraId="744367F4" w14:textId="77777777" w:rsidR="002F4F56" w:rsidRPr="00293C9B" w:rsidRDefault="002F4F56" w:rsidP="00293C9B">
      <w:pPr>
        <w:spacing w:line="24" w:lineRule="atLeast"/>
        <w:jc w:val="both"/>
        <w:rPr>
          <w:rFonts w:asciiTheme="minorHAnsi" w:hAnsiTheme="minorHAnsi" w:cstheme="minorHAnsi"/>
          <w:sz w:val="22"/>
          <w:szCs w:val="22"/>
        </w:rPr>
      </w:pPr>
    </w:p>
    <w:p w14:paraId="58F8025C"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4) Przedłużenie wsparcia dla urządzenia </w:t>
      </w:r>
      <w:proofErr w:type="spellStart"/>
      <w:r w:rsidRPr="00293C9B">
        <w:rPr>
          <w:rFonts w:asciiTheme="minorHAnsi" w:hAnsiTheme="minorHAnsi" w:cstheme="minorHAnsi"/>
          <w:sz w:val="22"/>
          <w:szCs w:val="22"/>
        </w:rPr>
        <w:t>Paloalto</w:t>
      </w:r>
      <w:proofErr w:type="spellEnd"/>
      <w:r w:rsidRPr="00293C9B">
        <w:rPr>
          <w:rFonts w:asciiTheme="minorHAnsi" w:hAnsiTheme="minorHAnsi" w:cstheme="minorHAnsi"/>
          <w:sz w:val="22"/>
          <w:szCs w:val="22"/>
        </w:rPr>
        <w:t xml:space="preserve"> Panorama na okres 36 miesięcy</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11"/>
        <w:gridCol w:w="1417"/>
        <w:gridCol w:w="1701"/>
        <w:gridCol w:w="2126"/>
      </w:tblGrid>
      <w:tr w:rsidR="002F4F56" w:rsidRPr="00293C9B" w14:paraId="34BBF3AA" w14:textId="77777777" w:rsidTr="005A6247">
        <w:trPr>
          <w:tblHeader/>
        </w:trPr>
        <w:tc>
          <w:tcPr>
            <w:tcW w:w="845" w:type="dxa"/>
            <w:tcBorders>
              <w:top w:val="single" w:sz="4" w:space="0" w:color="auto"/>
              <w:left w:val="single" w:sz="4" w:space="0" w:color="auto"/>
              <w:bottom w:val="single" w:sz="4" w:space="0" w:color="auto"/>
              <w:right w:val="single" w:sz="4" w:space="0" w:color="auto"/>
            </w:tcBorders>
            <w:hideMark/>
          </w:tcPr>
          <w:p w14:paraId="3D7F740A"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Lp.</w:t>
            </w:r>
          </w:p>
        </w:tc>
        <w:tc>
          <w:tcPr>
            <w:tcW w:w="4111" w:type="dxa"/>
            <w:tcBorders>
              <w:top w:val="single" w:sz="4" w:space="0" w:color="auto"/>
              <w:left w:val="single" w:sz="4" w:space="0" w:color="auto"/>
              <w:bottom w:val="single" w:sz="4" w:space="0" w:color="auto"/>
              <w:right w:val="single" w:sz="4" w:space="0" w:color="auto"/>
            </w:tcBorders>
            <w:hideMark/>
          </w:tcPr>
          <w:p w14:paraId="5D937DB2"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Jednostka</w:t>
            </w:r>
          </w:p>
        </w:tc>
        <w:tc>
          <w:tcPr>
            <w:tcW w:w="1417" w:type="dxa"/>
            <w:tcBorders>
              <w:top w:val="single" w:sz="4" w:space="0" w:color="auto"/>
              <w:left w:val="single" w:sz="4" w:space="0" w:color="auto"/>
              <w:bottom w:val="single" w:sz="4" w:space="0" w:color="auto"/>
              <w:right w:val="single" w:sz="4" w:space="0" w:color="auto"/>
            </w:tcBorders>
            <w:hideMark/>
          </w:tcPr>
          <w:p w14:paraId="7E49FC3D"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Nazwa urządzenia</w:t>
            </w:r>
          </w:p>
        </w:tc>
        <w:tc>
          <w:tcPr>
            <w:tcW w:w="1701" w:type="dxa"/>
            <w:tcBorders>
              <w:top w:val="single" w:sz="4" w:space="0" w:color="auto"/>
              <w:left w:val="single" w:sz="4" w:space="0" w:color="auto"/>
              <w:bottom w:val="single" w:sz="4" w:space="0" w:color="auto"/>
              <w:right w:val="single" w:sz="4" w:space="0" w:color="auto"/>
            </w:tcBorders>
            <w:hideMark/>
          </w:tcPr>
          <w:p w14:paraId="775EA38C"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Numer seryjny</w:t>
            </w:r>
          </w:p>
        </w:tc>
        <w:tc>
          <w:tcPr>
            <w:tcW w:w="2126" w:type="dxa"/>
            <w:tcBorders>
              <w:top w:val="single" w:sz="4" w:space="0" w:color="auto"/>
              <w:left w:val="single" w:sz="4" w:space="0" w:color="auto"/>
              <w:bottom w:val="single" w:sz="4" w:space="0" w:color="auto"/>
              <w:right w:val="single" w:sz="4" w:space="0" w:color="auto"/>
            </w:tcBorders>
            <w:hideMark/>
          </w:tcPr>
          <w:p w14:paraId="04B52793"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Wsparcie ważne do</w:t>
            </w:r>
          </w:p>
        </w:tc>
      </w:tr>
      <w:tr w:rsidR="002F4F56" w:rsidRPr="00293C9B" w14:paraId="2DC267A4" w14:textId="77777777" w:rsidTr="005A6247">
        <w:tc>
          <w:tcPr>
            <w:tcW w:w="845" w:type="dxa"/>
            <w:tcBorders>
              <w:top w:val="single" w:sz="4" w:space="0" w:color="auto"/>
              <w:left w:val="single" w:sz="4" w:space="0" w:color="auto"/>
              <w:bottom w:val="single" w:sz="4" w:space="0" w:color="auto"/>
              <w:right w:val="single" w:sz="4" w:space="0" w:color="auto"/>
            </w:tcBorders>
          </w:tcPr>
          <w:p w14:paraId="297FA29E" w14:textId="77777777" w:rsidR="002F4F56" w:rsidRPr="00293C9B" w:rsidRDefault="002F4F56" w:rsidP="00293C9B">
            <w:pPr>
              <w:numPr>
                <w:ilvl w:val="0"/>
                <w:numId w:val="27"/>
              </w:numPr>
              <w:spacing w:line="24" w:lineRule="atLeast"/>
              <w:rPr>
                <w:rFonts w:asciiTheme="minorHAnsi" w:eastAsia="Calibr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hideMark/>
          </w:tcPr>
          <w:p w14:paraId="208E436B"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 xml:space="preserve">Sąd </w:t>
            </w:r>
            <w:r w:rsidRPr="00293C9B">
              <w:rPr>
                <w:rFonts w:asciiTheme="minorHAnsi" w:hAnsiTheme="minorHAnsi" w:cstheme="minorHAnsi"/>
                <w:sz w:val="22"/>
                <w:szCs w:val="22"/>
              </w:rPr>
              <w:t>Apelacyjny w Białymstoku</w:t>
            </w:r>
          </w:p>
        </w:tc>
        <w:tc>
          <w:tcPr>
            <w:tcW w:w="1417" w:type="dxa"/>
            <w:tcBorders>
              <w:top w:val="single" w:sz="4" w:space="0" w:color="auto"/>
              <w:left w:val="single" w:sz="4" w:space="0" w:color="auto"/>
              <w:bottom w:val="single" w:sz="4" w:space="0" w:color="auto"/>
              <w:right w:val="single" w:sz="4" w:space="0" w:color="auto"/>
            </w:tcBorders>
            <w:hideMark/>
          </w:tcPr>
          <w:p w14:paraId="0CBD264F"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Panorama</w:t>
            </w:r>
          </w:p>
        </w:tc>
        <w:tc>
          <w:tcPr>
            <w:tcW w:w="1701" w:type="dxa"/>
            <w:tcBorders>
              <w:top w:val="single" w:sz="4" w:space="0" w:color="auto"/>
              <w:left w:val="single" w:sz="4" w:space="0" w:color="auto"/>
              <w:bottom w:val="single" w:sz="4" w:space="0" w:color="auto"/>
              <w:right w:val="single" w:sz="4" w:space="0" w:color="auto"/>
            </w:tcBorders>
            <w:hideMark/>
          </w:tcPr>
          <w:p w14:paraId="4F734E49"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color w:val="32393F"/>
                <w:sz w:val="22"/>
                <w:szCs w:val="22"/>
                <w:shd w:val="clear" w:color="auto" w:fill="FFFFFF"/>
              </w:rPr>
              <w:t>000702373851</w:t>
            </w:r>
          </w:p>
        </w:tc>
        <w:tc>
          <w:tcPr>
            <w:tcW w:w="2126" w:type="dxa"/>
            <w:tcBorders>
              <w:top w:val="single" w:sz="4" w:space="0" w:color="auto"/>
              <w:left w:val="single" w:sz="4" w:space="0" w:color="auto"/>
              <w:bottom w:val="single" w:sz="4" w:space="0" w:color="auto"/>
              <w:right w:val="single" w:sz="4" w:space="0" w:color="auto"/>
            </w:tcBorders>
            <w:hideMark/>
          </w:tcPr>
          <w:p w14:paraId="158F1918"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08.12.2024</w:t>
            </w:r>
          </w:p>
        </w:tc>
      </w:tr>
    </w:tbl>
    <w:p w14:paraId="160EC1B7" w14:textId="77777777" w:rsidR="002F4F56" w:rsidRPr="00293C9B" w:rsidRDefault="002F4F56" w:rsidP="00293C9B">
      <w:pPr>
        <w:spacing w:line="24" w:lineRule="atLeast"/>
        <w:jc w:val="both"/>
        <w:rPr>
          <w:rFonts w:asciiTheme="minorHAnsi" w:hAnsiTheme="minorHAnsi" w:cstheme="minorHAnsi"/>
          <w:sz w:val="22"/>
          <w:szCs w:val="22"/>
        </w:rPr>
      </w:pPr>
    </w:p>
    <w:p w14:paraId="4F2A59BA" w14:textId="77777777"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wsparcia technicznego, gwarancji i serwisu opartego na usługach serwisowych producenta ww. sprzętu (Partner Premium </w:t>
      </w:r>
      <w:proofErr w:type="spellStart"/>
      <w:r w:rsidRPr="00293C9B">
        <w:rPr>
          <w:rFonts w:asciiTheme="minorHAnsi" w:hAnsiTheme="minorHAnsi" w:cstheme="minorHAnsi"/>
          <w:sz w:val="22"/>
          <w:szCs w:val="22"/>
        </w:rPr>
        <w:t>Support</w:t>
      </w:r>
      <w:proofErr w:type="spellEnd"/>
      <w:r w:rsidRPr="00293C9B">
        <w:rPr>
          <w:rFonts w:asciiTheme="minorHAnsi" w:hAnsiTheme="minorHAnsi" w:cstheme="minorHAnsi"/>
          <w:sz w:val="22"/>
          <w:szCs w:val="22"/>
        </w:rPr>
        <w:t xml:space="preserve">) dla urządzenia </w:t>
      </w:r>
      <w:proofErr w:type="spellStart"/>
      <w:r w:rsidRPr="00293C9B">
        <w:rPr>
          <w:rFonts w:asciiTheme="minorHAnsi" w:hAnsiTheme="minorHAnsi" w:cstheme="minorHAnsi"/>
          <w:sz w:val="22"/>
          <w:szCs w:val="22"/>
        </w:rPr>
        <w:t>Panorma</w:t>
      </w:r>
      <w:proofErr w:type="spellEnd"/>
      <w:r w:rsidRPr="00293C9B">
        <w:rPr>
          <w:rFonts w:asciiTheme="minorHAnsi" w:hAnsiTheme="minorHAnsi" w:cstheme="minorHAnsi"/>
          <w:sz w:val="22"/>
          <w:szCs w:val="22"/>
        </w:rPr>
        <w:t xml:space="preserve"> przez okres trzech lat od dnia wygaśnięcia aktualnie obowiązującego wsparcia.</w:t>
      </w:r>
    </w:p>
    <w:p w14:paraId="26C12304" w14:textId="77777777" w:rsidR="002F4F56" w:rsidRPr="00293C9B" w:rsidRDefault="002F4F56" w:rsidP="00293C9B">
      <w:pPr>
        <w:spacing w:line="24" w:lineRule="atLeast"/>
        <w:jc w:val="both"/>
        <w:rPr>
          <w:rFonts w:asciiTheme="minorHAnsi" w:hAnsiTheme="minorHAnsi" w:cstheme="minorHAnsi"/>
          <w:sz w:val="22"/>
          <w:szCs w:val="22"/>
        </w:rPr>
      </w:pPr>
    </w:p>
    <w:p w14:paraId="5A692040" w14:textId="77777777" w:rsidR="001073F0" w:rsidRPr="00293C9B" w:rsidRDefault="001073F0" w:rsidP="00293C9B">
      <w:pPr>
        <w:spacing w:line="24" w:lineRule="atLeast"/>
        <w:rPr>
          <w:rFonts w:asciiTheme="minorHAnsi" w:hAnsiTheme="minorHAnsi" w:cstheme="minorHAnsi"/>
          <w:sz w:val="22"/>
          <w:szCs w:val="22"/>
        </w:rPr>
      </w:pPr>
    </w:p>
    <w:sectPr w:rsidR="001073F0" w:rsidRPr="00293C9B" w:rsidSect="009A4F88">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A4B53" w14:textId="77777777" w:rsidR="00CC01EA" w:rsidRDefault="00CC01EA" w:rsidP="00CE5B24">
      <w:r>
        <w:separator/>
      </w:r>
    </w:p>
  </w:endnote>
  <w:endnote w:type="continuationSeparator" w:id="0">
    <w:p w14:paraId="293ED4B3" w14:textId="77777777" w:rsidR="00CC01EA" w:rsidRDefault="00CC01EA" w:rsidP="00CE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Helvetica Neue Light">
    <w:altName w:val="Times New Roman"/>
    <w:charset w:val="00"/>
    <w:family w:val="auto"/>
    <w:pitch w:val="variable"/>
    <w:sig w:usb0="00000001" w:usb1="5000205B" w:usb2="00000002" w:usb3="00000000" w:csb0="00000007"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545022"/>
      <w:docPartObj>
        <w:docPartGallery w:val="Page Numbers (Bottom of Page)"/>
        <w:docPartUnique/>
      </w:docPartObj>
    </w:sdtPr>
    <w:sdtEndPr>
      <w:rPr>
        <w:i/>
        <w:iCs/>
        <w:sz w:val="18"/>
        <w:szCs w:val="18"/>
      </w:rPr>
    </w:sdtEndPr>
    <w:sdtContent>
      <w:p w14:paraId="3C007B98" w14:textId="77777777" w:rsidR="00A85F14" w:rsidRPr="00A85F14" w:rsidRDefault="00CC01EA" w:rsidP="003C24BC">
        <w:pPr>
          <w:pStyle w:val="Stopka"/>
          <w:rPr>
            <w:i/>
            <w:iCs/>
            <w:sz w:val="18"/>
            <w:szCs w:val="18"/>
          </w:rPr>
        </w:pPr>
        <w:sdt>
          <w:sdtPr>
            <w:rPr>
              <w:i/>
              <w:iCs/>
              <w:sz w:val="18"/>
              <w:szCs w:val="18"/>
            </w:rPr>
            <w:id w:val="-1705238520"/>
            <w:docPartObj>
              <w:docPartGallery w:val="Page Numbers (Top of Page)"/>
              <w:docPartUnique/>
            </w:docPartObj>
          </w:sdtPr>
          <w:sdtEndPr/>
          <w:sdtContent>
            <w:r w:rsidR="004D525C" w:rsidRPr="00A85F14">
              <w:rPr>
                <w:b/>
                <w:bCs/>
                <w:i/>
                <w:iCs/>
                <w:sz w:val="18"/>
                <w:szCs w:val="18"/>
              </w:rPr>
              <w:fldChar w:fldCharType="begin"/>
            </w:r>
            <w:r w:rsidR="004D525C" w:rsidRPr="00A85F14">
              <w:rPr>
                <w:b/>
                <w:bCs/>
                <w:i/>
                <w:iCs/>
                <w:sz w:val="18"/>
                <w:szCs w:val="18"/>
              </w:rPr>
              <w:instrText>PAGE</w:instrText>
            </w:r>
            <w:r w:rsidR="004D525C" w:rsidRPr="00A85F14">
              <w:rPr>
                <w:b/>
                <w:bCs/>
                <w:i/>
                <w:iCs/>
                <w:sz w:val="18"/>
                <w:szCs w:val="18"/>
              </w:rPr>
              <w:fldChar w:fldCharType="separate"/>
            </w:r>
            <w:r w:rsidR="004D525C" w:rsidRPr="00A85F14">
              <w:rPr>
                <w:b/>
                <w:bCs/>
                <w:i/>
                <w:iCs/>
                <w:sz w:val="18"/>
                <w:szCs w:val="18"/>
              </w:rPr>
              <w:t>2</w:t>
            </w:r>
            <w:r w:rsidR="004D525C" w:rsidRPr="00A85F14">
              <w:rPr>
                <w:b/>
                <w:bCs/>
                <w:i/>
                <w:iCs/>
                <w:sz w:val="18"/>
                <w:szCs w:val="18"/>
              </w:rPr>
              <w:fldChar w:fldCharType="end"/>
            </w:r>
            <w:r w:rsidR="004D525C" w:rsidRPr="00A85F14">
              <w:rPr>
                <w:i/>
                <w:iCs/>
                <w:sz w:val="18"/>
                <w:szCs w:val="18"/>
              </w:rPr>
              <w:t>/</w:t>
            </w:r>
            <w:r w:rsidR="004D525C" w:rsidRPr="00A85F14">
              <w:rPr>
                <w:b/>
                <w:bCs/>
                <w:i/>
                <w:iCs/>
                <w:sz w:val="18"/>
                <w:szCs w:val="18"/>
              </w:rPr>
              <w:fldChar w:fldCharType="begin"/>
            </w:r>
            <w:r w:rsidR="004D525C" w:rsidRPr="00A85F14">
              <w:rPr>
                <w:b/>
                <w:bCs/>
                <w:i/>
                <w:iCs/>
                <w:sz w:val="18"/>
                <w:szCs w:val="18"/>
              </w:rPr>
              <w:instrText>NUMPAGES</w:instrText>
            </w:r>
            <w:r w:rsidR="004D525C" w:rsidRPr="00A85F14">
              <w:rPr>
                <w:b/>
                <w:bCs/>
                <w:i/>
                <w:iCs/>
                <w:sz w:val="18"/>
                <w:szCs w:val="18"/>
              </w:rPr>
              <w:fldChar w:fldCharType="separate"/>
            </w:r>
            <w:r w:rsidR="004D525C" w:rsidRPr="00A85F14">
              <w:rPr>
                <w:b/>
                <w:bCs/>
                <w:i/>
                <w:iCs/>
                <w:sz w:val="18"/>
                <w:szCs w:val="18"/>
              </w:rPr>
              <w:t>2</w:t>
            </w:r>
            <w:r w:rsidR="004D525C" w:rsidRPr="00A85F14">
              <w:rPr>
                <w:b/>
                <w:bCs/>
                <w:i/>
                <w:iCs/>
                <w:sz w:val="18"/>
                <w:szCs w:val="18"/>
              </w:rPr>
              <w:fldChar w:fldCharType="end"/>
            </w:r>
          </w:sdtContent>
        </w:sdt>
      </w:p>
    </w:sdtContent>
  </w:sdt>
  <w:p w14:paraId="79923DC6" w14:textId="77777777" w:rsidR="00A85F14" w:rsidRDefault="00CC01EA" w:rsidP="00A85F14">
    <w:pPr>
      <w:pStyle w:val="Stopka"/>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10038" w14:textId="77777777" w:rsidR="00CC01EA" w:rsidRDefault="00CC01EA" w:rsidP="00CE5B24">
      <w:r>
        <w:separator/>
      </w:r>
    </w:p>
  </w:footnote>
  <w:footnote w:type="continuationSeparator" w:id="0">
    <w:p w14:paraId="573849FD" w14:textId="77777777" w:rsidR="00CC01EA" w:rsidRDefault="00CC01EA" w:rsidP="00CE5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D6C6F308"/>
    <w:lvl w:ilvl="0">
      <w:start w:val="1"/>
      <w:numFmt w:val="decimal"/>
      <w:lvlText w:val="%1)"/>
      <w:lvlJc w:val="left"/>
      <w:pPr>
        <w:ind w:left="851" w:hanging="491"/>
      </w:pPr>
    </w:lvl>
    <w:lvl w:ilvl="1">
      <w:start w:val="2"/>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191366D"/>
    <w:multiLevelType w:val="multilevel"/>
    <w:tmpl w:val="76A06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CD5852"/>
    <w:multiLevelType w:val="multilevel"/>
    <w:tmpl w:val="04C2DB90"/>
    <w:lvl w:ilvl="0">
      <w:start w:val="2"/>
      <w:numFmt w:val="upperRoman"/>
      <w:lvlText w:val="%1."/>
      <w:lvlJc w:val="righ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BD424C"/>
    <w:multiLevelType w:val="multilevel"/>
    <w:tmpl w:val="26F29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061B84"/>
    <w:multiLevelType w:val="hybridMultilevel"/>
    <w:tmpl w:val="D1924568"/>
    <w:lvl w:ilvl="0" w:tplc="445267FE">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33164EE"/>
    <w:multiLevelType w:val="hybridMultilevel"/>
    <w:tmpl w:val="79B6C5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9616003"/>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163034"/>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2428F4"/>
    <w:multiLevelType w:val="multilevel"/>
    <w:tmpl w:val="0F42AF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CD105A"/>
    <w:multiLevelType w:val="multilevel"/>
    <w:tmpl w:val="71264908"/>
    <w:lvl w:ilvl="0">
      <w:start w:val="1"/>
      <w:numFmt w:val="decimal"/>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3DB04BF"/>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B805927"/>
    <w:multiLevelType w:val="hybridMultilevel"/>
    <w:tmpl w:val="14988B32"/>
    <w:lvl w:ilvl="0" w:tplc="DE586C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3BC52CA7"/>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14E1CB1"/>
    <w:multiLevelType w:val="hybridMultilevel"/>
    <w:tmpl w:val="4104BF50"/>
    <w:lvl w:ilvl="0" w:tplc="EF6EE77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1CC77C4"/>
    <w:multiLevelType w:val="multilevel"/>
    <w:tmpl w:val="B91255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5A218E5"/>
    <w:multiLevelType w:val="hybridMultilevel"/>
    <w:tmpl w:val="46D6D614"/>
    <w:lvl w:ilvl="0" w:tplc="C6F8B74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E991530"/>
    <w:multiLevelType w:val="multilevel"/>
    <w:tmpl w:val="F79A8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8D645D"/>
    <w:multiLevelType w:val="hybridMultilevel"/>
    <w:tmpl w:val="D1A2D696"/>
    <w:lvl w:ilvl="0" w:tplc="CCA2DE90">
      <w:start w:val="1"/>
      <w:numFmt w:val="lowerLetter"/>
      <w:lvlText w:val="%1)"/>
      <w:lvlJc w:val="left"/>
      <w:pPr>
        <w:ind w:left="644" w:hanging="360"/>
      </w:pPr>
      <w:rPr>
        <w:rFonts w:ascii="Calibri" w:eastAsia="Calibri" w:hAnsi="Calibri" w:cs="Calibri"/>
        <w:color w:val="auto"/>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D944B23E">
      <w:start w:val="1"/>
      <w:numFmt w:val="bullet"/>
      <w:lvlText w:val="−"/>
      <w:lvlJc w:val="left"/>
      <w:pPr>
        <w:ind w:left="2804" w:hanging="360"/>
      </w:pPr>
      <w:rPr>
        <w:rFonts w:ascii="Times New Roman" w:hAnsi="Times New Roman" w:cs="Times New Roman" w:hint="default"/>
        <w:color w:val="auto"/>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8" w15:restartNumberingAfterBreak="0">
    <w:nsid w:val="51BC65A1"/>
    <w:multiLevelType w:val="hybridMultilevel"/>
    <w:tmpl w:val="F128356C"/>
    <w:lvl w:ilvl="0" w:tplc="02CA39D6">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8201A8"/>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48F3A57"/>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7192681"/>
    <w:multiLevelType w:val="multilevel"/>
    <w:tmpl w:val="0F42AF56"/>
    <w:lvl w:ilvl="0">
      <w:start w:val="1"/>
      <w:numFmt w:val="decimal"/>
      <w:lvlText w:val="%1)"/>
      <w:lvlJc w:val="left"/>
      <w:pPr>
        <w:ind w:left="426" w:hanging="360"/>
      </w:pPr>
    </w:lvl>
    <w:lvl w:ilvl="1">
      <w:start w:val="1"/>
      <w:numFmt w:val="decimal"/>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22" w15:restartNumberingAfterBreak="0">
    <w:nsid w:val="59D0473E"/>
    <w:multiLevelType w:val="hybridMultilevel"/>
    <w:tmpl w:val="A2DC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01B3CCE"/>
    <w:multiLevelType w:val="hybridMultilevel"/>
    <w:tmpl w:val="55ECC05A"/>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0444E14"/>
    <w:multiLevelType w:val="hybridMultilevel"/>
    <w:tmpl w:val="9FD2CA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3172E6"/>
    <w:multiLevelType w:val="hybridMultilevel"/>
    <w:tmpl w:val="51605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1B350E9"/>
    <w:multiLevelType w:val="hybridMultilevel"/>
    <w:tmpl w:val="F128356C"/>
    <w:lvl w:ilvl="0" w:tplc="02CA39D6">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E03701"/>
    <w:multiLevelType w:val="multilevel"/>
    <w:tmpl w:val="AB6E1D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B624CA0"/>
    <w:multiLevelType w:val="hybridMultilevel"/>
    <w:tmpl w:val="D1DC6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6BD645FA"/>
    <w:multiLevelType w:val="hybridMultilevel"/>
    <w:tmpl w:val="B1BE3DF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C5431A1"/>
    <w:multiLevelType w:val="multilevel"/>
    <w:tmpl w:val="4F609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28F2676"/>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8CB58B6"/>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98A6445"/>
    <w:multiLevelType w:val="multilevel"/>
    <w:tmpl w:val="EF80B5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BB240E3"/>
    <w:multiLevelType w:val="hybridMultilevel"/>
    <w:tmpl w:val="10B665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16308A"/>
    <w:multiLevelType w:val="multilevel"/>
    <w:tmpl w:val="D86AD1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8"/>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5"/>
  </w:num>
  <w:num w:numId="14">
    <w:abstractNumId w:val="14"/>
  </w:num>
  <w:num w:numId="15">
    <w:abstractNumId w:val="30"/>
  </w:num>
  <w:num w:numId="16">
    <w:abstractNumId w:val="2"/>
  </w:num>
  <w:num w:numId="17">
    <w:abstractNumId w:val="8"/>
  </w:num>
  <w:num w:numId="18">
    <w:abstractNumId w:val="3"/>
  </w:num>
  <w:num w:numId="19">
    <w:abstractNumId w:val="24"/>
  </w:num>
  <w:num w:numId="20">
    <w:abstractNumId w:val="33"/>
  </w:num>
  <w:num w:numId="21">
    <w:abstractNumId w:val="21"/>
  </w:num>
  <w:num w:numId="22">
    <w:abstractNumId w:val="17"/>
  </w:num>
  <w:num w:numId="23">
    <w:abstractNumId w:val="4"/>
  </w:num>
  <w:num w:numId="24">
    <w:abstractNumId w:val="26"/>
  </w:num>
  <w:num w:numId="25">
    <w:abstractNumId w:val="5"/>
  </w:num>
  <w:num w:numId="26">
    <w:abstractNumId w:val="19"/>
  </w:num>
  <w:num w:numId="27">
    <w:abstractNumId w:val="12"/>
  </w:num>
  <w:num w:numId="28">
    <w:abstractNumId w:val="34"/>
  </w:num>
  <w:num w:numId="29">
    <w:abstractNumId w:val="9"/>
  </w:num>
  <w:num w:numId="30">
    <w:abstractNumId w:val="18"/>
  </w:num>
  <w:num w:numId="31">
    <w:abstractNumId w:val="31"/>
  </w:num>
  <w:num w:numId="32">
    <w:abstractNumId w:val="7"/>
  </w:num>
  <w:num w:numId="33">
    <w:abstractNumId w:val="32"/>
  </w:num>
  <w:num w:numId="34">
    <w:abstractNumId w:val="20"/>
  </w:num>
  <w:num w:numId="35">
    <w:abstractNumId w:val="6"/>
  </w:num>
  <w:num w:numId="36">
    <w:abstractNumId w:val="1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0C"/>
    <w:rsid w:val="00036A37"/>
    <w:rsid w:val="0007155C"/>
    <w:rsid w:val="00095CC4"/>
    <w:rsid w:val="000A3E33"/>
    <w:rsid w:val="000A503A"/>
    <w:rsid w:val="000D2AFD"/>
    <w:rsid w:val="001073F0"/>
    <w:rsid w:val="00111EE2"/>
    <w:rsid w:val="0011625F"/>
    <w:rsid w:val="00163420"/>
    <w:rsid w:val="00184CFC"/>
    <w:rsid w:val="001B086F"/>
    <w:rsid w:val="001D16F1"/>
    <w:rsid w:val="001E0E45"/>
    <w:rsid w:val="002476DA"/>
    <w:rsid w:val="002647D3"/>
    <w:rsid w:val="00293C9B"/>
    <w:rsid w:val="002F4F56"/>
    <w:rsid w:val="0031233C"/>
    <w:rsid w:val="00312864"/>
    <w:rsid w:val="00327F44"/>
    <w:rsid w:val="00364C7E"/>
    <w:rsid w:val="003751C7"/>
    <w:rsid w:val="00382668"/>
    <w:rsid w:val="003B7EEF"/>
    <w:rsid w:val="003D2F6C"/>
    <w:rsid w:val="004073C1"/>
    <w:rsid w:val="00425406"/>
    <w:rsid w:val="00451896"/>
    <w:rsid w:val="0045715E"/>
    <w:rsid w:val="004712F5"/>
    <w:rsid w:val="004742F9"/>
    <w:rsid w:val="004C05C7"/>
    <w:rsid w:val="004C4FE4"/>
    <w:rsid w:val="004D525C"/>
    <w:rsid w:val="0051031D"/>
    <w:rsid w:val="005A5730"/>
    <w:rsid w:val="005C618C"/>
    <w:rsid w:val="005F3934"/>
    <w:rsid w:val="00642703"/>
    <w:rsid w:val="00645567"/>
    <w:rsid w:val="0069140E"/>
    <w:rsid w:val="006A4D96"/>
    <w:rsid w:val="006C072E"/>
    <w:rsid w:val="007153CD"/>
    <w:rsid w:val="00735CA8"/>
    <w:rsid w:val="007646A4"/>
    <w:rsid w:val="007C08A9"/>
    <w:rsid w:val="007E4E11"/>
    <w:rsid w:val="00816CAB"/>
    <w:rsid w:val="00862ECE"/>
    <w:rsid w:val="00880E28"/>
    <w:rsid w:val="00885D02"/>
    <w:rsid w:val="008917FB"/>
    <w:rsid w:val="00894BFE"/>
    <w:rsid w:val="008A317B"/>
    <w:rsid w:val="008B52B1"/>
    <w:rsid w:val="008F5AED"/>
    <w:rsid w:val="009120D4"/>
    <w:rsid w:val="00920515"/>
    <w:rsid w:val="0092329A"/>
    <w:rsid w:val="00957A10"/>
    <w:rsid w:val="00961550"/>
    <w:rsid w:val="00966F75"/>
    <w:rsid w:val="00974EB5"/>
    <w:rsid w:val="009B3A78"/>
    <w:rsid w:val="009C380C"/>
    <w:rsid w:val="009D0444"/>
    <w:rsid w:val="00A26E84"/>
    <w:rsid w:val="00A305F8"/>
    <w:rsid w:val="00A50BC4"/>
    <w:rsid w:val="00AA36E4"/>
    <w:rsid w:val="00AD0908"/>
    <w:rsid w:val="00AD78D1"/>
    <w:rsid w:val="00AE3C16"/>
    <w:rsid w:val="00AF41C4"/>
    <w:rsid w:val="00B11D0B"/>
    <w:rsid w:val="00B133B9"/>
    <w:rsid w:val="00B669FC"/>
    <w:rsid w:val="00B73DBE"/>
    <w:rsid w:val="00B92AED"/>
    <w:rsid w:val="00C22904"/>
    <w:rsid w:val="00C24695"/>
    <w:rsid w:val="00C42FB0"/>
    <w:rsid w:val="00C87BF8"/>
    <w:rsid w:val="00CC01EA"/>
    <w:rsid w:val="00CD2F25"/>
    <w:rsid w:val="00CE5B24"/>
    <w:rsid w:val="00D00741"/>
    <w:rsid w:val="00D40E99"/>
    <w:rsid w:val="00D743BD"/>
    <w:rsid w:val="00E563DC"/>
    <w:rsid w:val="00E6103C"/>
    <w:rsid w:val="00E63316"/>
    <w:rsid w:val="00E6570B"/>
    <w:rsid w:val="00EB1191"/>
    <w:rsid w:val="00F2372F"/>
    <w:rsid w:val="00F3559C"/>
    <w:rsid w:val="00F41531"/>
    <w:rsid w:val="00F5510D"/>
    <w:rsid w:val="00F75BB4"/>
    <w:rsid w:val="00FE565E"/>
    <w:rsid w:val="00FF20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A02190"/>
  <w15:chartTrackingRefBased/>
  <w15:docId w15:val="{BF8512C4-7CA3-4644-972F-7DDF7961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rPr>
  </w:style>
  <w:style w:type="paragraph" w:styleId="Nagwek1">
    <w:name w:val="heading 1"/>
    <w:basedOn w:val="Normalny"/>
    <w:next w:val="Normalny"/>
    <w:qFormat/>
    <w:pPr>
      <w:keepNext/>
      <w:jc w:val="center"/>
      <w:outlineLvl w:val="0"/>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567"/>
    </w:pPr>
  </w:style>
  <w:style w:type="character" w:styleId="Hipercze">
    <w:name w:val="Hyperlink"/>
    <w:rsid w:val="00382668"/>
    <w:rPr>
      <w:color w:val="0563C1"/>
      <w:u w:val="single"/>
    </w:rPr>
  </w:style>
  <w:style w:type="character" w:styleId="Nierozpoznanawzmianka">
    <w:name w:val="Unresolved Mention"/>
    <w:uiPriority w:val="99"/>
    <w:semiHidden/>
    <w:unhideWhenUsed/>
    <w:rsid w:val="00382668"/>
    <w:rPr>
      <w:color w:val="605E5C"/>
      <w:shd w:val="clear" w:color="auto" w:fill="E1DFDD"/>
    </w:rPr>
  </w:style>
  <w:style w:type="paragraph" w:styleId="Nagwek">
    <w:name w:val="header"/>
    <w:basedOn w:val="Normalny"/>
    <w:link w:val="NagwekZnak"/>
    <w:uiPriority w:val="99"/>
    <w:rsid w:val="00CE5B24"/>
    <w:pPr>
      <w:tabs>
        <w:tab w:val="center" w:pos="4536"/>
        <w:tab w:val="right" w:pos="9072"/>
      </w:tabs>
    </w:pPr>
  </w:style>
  <w:style w:type="character" w:customStyle="1" w:styleId="NagwekZnak">
    <w:name w:val="Nagłówek Znak"/>
    <w:link w:val="Nagwek"/>
    <w:uiPriority w:val="99"/>
    <w:rsid w:val="00CE5B24"/>
    <w:rPr>
      <w:sz w:val="24"/>
    </w:rPr>
  </w:style>
  <w:style w:type="paragraph" w:styleId="Stopka">
    <w:name w:val="footer"/>
    <w:basedOn w:val="Normalny"/>
    <w:link w:val="StopkaZnak"/>
    <w:uiPriority w:val="99"/>
    <w:rsid w:val="00CE5B24"/>
    <w:pPr>
      <w:tabs>
        <w:tab w:val="center" w:pos="4536"/>
        <w:tab w:val="right" w:pos="9072"/>
      </w:tabs>
    </w:pPr>
  </w:style>
  <w:style w:type="character" w:customStyle="1" w:styleId="StopkaZnak">
    <w:name w:val="Stopka Znak"/>
    <w:link w:val="Stopka"/>
    <w:uiPriority w:val="99"/>
    <w:rsid w:val="00CE5B24"/>
    <w:rPr>
      <w:sz w:val="24"/>
    </w:rPr>
  </w:style>
  <w:style w:type="paragraph" w:styleId="Akapitzlist">
    <w:name w:val="List Paragraph"/>
    <w:aliases w:val="2 heading,A_wyliczenie,K-P_odwolanie,maz_wyliczenie,opis dzialania,Kolorowa lista — akcent 11,normalny tekst,Akapit z listą BS,CW_Lista,Colorful List Accent 1,List Paragraph,wypunktowanie"/>
    <w:basedOn w:val="Normalny"/>
    <w:link w:val="AkapitzlistZnak"/>
    <w:uiPriority w:val="34"/>
    <w:qFormat/>
    <w:rsid w:val="00A50BC4"/>
    <w:pPr>
      <w:spacing w:after="160" w:line="252" w:lineRule="auto"/>
      <w:ind w:left="720"/>
      <w:contextualSpacing/>
    </w:pPr>
    <w:rPr>
      <w:rFonts w:ascii="Calibri" w:eastAsia="Calibri" w:hAnsi="Calibri"/>
      <w:sz w:val="22"/>
      <w:szCs w:val="22"/>
      <w:lang w:eastAsia="en-US"/>
    </w:rPr>
  </w:style>
  <w:style w:type="paragraph" w:customStyle="1" w:styleId="Akapitzlist1">
    <w:name w:val="Akapit z listą1"/>
    <w:basedOn w:val="Normalny"/>
    <w:uiPriority w:val="99"/>
    <w:qFormat/>
    <w:rsid w:val="00A50BC4"/>
    <w:pPr>
      <w:widowControl w:val="0"/>
      <w:suppressAutoHyphens/>
    </w:pPr>
    <w:rPr>
      <w:rFonts w:eastAsia="SimSun" w:cs="Arial"/>
      <w:kern w:val="2"/>
      <w:szCs w:val="24"/>
      <w:lang w:eastAsia="hi-IN" w:bidi="hi-IN"/>
    </w:rPr>
  </w:style>
  <w:style w:type="table" w:styleId="Tabela-Siatka">
    <w:name w:val="Table Grid"/>
    <w:basedOn w:val="Standardowy"/>
    <w:uiPriority w:val="39"/>
    <w:rsid w:val="001073F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2 heading Znak,A_wyliczenie Znak,K-P_odwolanie Znak,maz_wyliczenie Znak,opis dzialania Znak,Kolorowa lista — akcent 11 Znak,normalny tekst Znak,Akapit z listą BS Znak,CW_Lista Znak,Colorful List Accent 1 Znak,List Paragraph Znak"/>
    <w:link w:val="Akapitzlist"/>
    <w:uiPriority w:val="34"/>
    <w:qFormat/>
    <w:rsid w:val="002F4F56"/>
    <w:rPr>
      <w:rFonts w:ascii="Calibri" w:eastAsia="Calibri" w:hAnsi="Calibri"/>
      <w:sz w:val="22"/>
      <w:szCs w:val="22"/>
      <w:lang w:eastAsia="en-US"/>
    </w:rPr>
  </w:style>
  <w:style w:type="paragraph" w:styleId="Bezodstpw">
    <w:name w:val="No Spacing"/>
    <w:uiPriority w:val="1"/>
    <w:qFormat/>
    <w:rsid w:val="002F4F5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1082">
      <w:bodyDiv w:val="1"/>
      <w:marLeft w:val="0"/>
      <w:marRight w:val="0"/>
      <w:marTop w:val="0"/>
      <w:marBottom w:val="0"/>
      <w:divBdr>
        <w:top w:val="none" w:sz="0" w:space="0" w:color="auto"/>
        <w:left w:val="none" w:sz="0" w:space="0" w:color="auto"/>
        <w:bottom w:val="none" w:sz="0" w:space="0" w:color="auto"/>
        <w:right w:val="none" w:sz="0" w:space="0" w:color="auto"/>
      </w:divBdr>
    </w:div>
    <w:div w:id="365064455">
      <w:bodyDiv w:val="1"/>
      <w:marLeft w:val="0"/>
      <w:marRight w:val="0"/>
      <w:marTop w:val="0"/>
      <w:marBottom w:val="0"/>
      <w:divBdr>
        <w:top w:val="none" w:sz="0" w:space="0" w:color="auto"/>
        <w:left w:val="none" w:sz="0" w:space="0" w:color="auto"/>
        <w:bottom w:val="none" w:sz="0" w:space="0" w:color="auto"/>
        <w:right w:val="none" w:sz="0" w:space="0" w:color="auto"/>
      </w:divBdr>
    </w:div>
    <w:div w:id="1857425760">
      <w:bodyDiv w:val="1"/>
      <w:marLeft w:val="0"/>
      <w:marRight w:val="0"/>
      <w:marTop w:val="0"/>
      <w:marBottom w:val="0"/>
      <w:divBdr>
        <w:top w:val="none" w:sz="0" w:space="0" w:color="auto"/>
        <w:left w:val="none" w:sz="0" w:space="0" w:color="auto"/>
        <w:bottom w:val="none" w:sz="0" w:space="0" w:color="auto"/>
        <w:right w:val="none" w:sz="0" w:space="0" w:color="auto"/>
      </w:divBdr>
    </w:div>
    <w:div w:id="188016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wa\adm\saw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A0C98-4131-4C32-BAE6-943690F9D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sawa.dot</Template>
  <TotalTime>40</TotalTime>
  <Pages>11</Pages>
  <Words>4108</Words>
  <Characters>24654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28705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cp:keywords/>
  <cp:lastModifiedBy>Magdalena Kukiełko</cp:lastModifiedBy>
  <cp:revision>6</cp:revision>
  <cp:lastPrinted>2021-01-05T08:45:00Z</cp:lastPrinted>
  <dcterms:created xsi:type="dcterms:W3CDTF">2022-09-21T07:04:00Z</dcterms:created>
  <dcterms:modified xsi:type="dcterms:W3CDTF">2024-06-07T07:34:00Z</dcterms:modified>
</cp:coreProperties>
</file>