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A9357" w14:textId="77777777" w:rsidR="00293C9B" w:rsidRPr="00AF41C4" w:rsidRDefault="00293C9B" w:rsidP="00293C9B">
      <w:pPr>
        <w:spacing w:line="24" w:lineRule="atLeast"/>
        <w:rPr>
          <w:rFonts w:asciiTheme="minorHAnsi" w:hAnsiTheme="minorHAnsi" w:cstheme="minorHAnsi"/>
          <w:w w:val="110"/>
          <w:sz w:val="28"/>
        </w:rPr>
      </w:pPr>
      <w:r w:rsidRPr="00AF41C4">
        <w:rPr>
          <w:rFonts w:asciiTheme="minorHAnsi" w:hAnsiTheme="minorHAnsi" w:cstheme="minorHAnsi"/>
          <w:w w:val="110"/>
          <w:sz w:val="28"/>
        </w:rPr>
        <w:t>OPIS PRZEDMIOTU ZAMÓWIENIA</w:t>
      </w:r>
    </w:p>
    <w:p w14:paraId="5F0B2796" w14:textId="77777777" w:rsidR="00293C9B" w:rsidRDefault="00293C9B" w:rsidP="00293C9B">
      <w:pPr>
        <w:autoSpaceDE w:val="0"/>
        <w:autoSpaceDN w:val="0"/>
        <w:adjustRightInd w:val="0"/>
        <w:spacing w:line="24" w:lineRule="atLeast"/>
        <w:rPr>
          <w:rFonts w:eastAsia="Calibri"/>
          <w:b/>
          <w:bCs/>
          <w:color w:val="000000"/>
          <w:szCs w:val="23"/>
          <w:lang w:eastAsia="en-US"/>
        </w:rPr>
      </w:pPr>
    </w:p>
    <w:p w14:paraId="411EA8AB" w14:textId="7634BE29" w:rsidR="00293C9B" w:rsidRDefault="00293C9B" w:rsidP="00293C9B">
      <w:pPr>
        <w:autoSpaceDE w:val="0"/>
        <w:autoSpaceDN w:val="0"/>
        <w:adjustRightInd w:val="0"/>
        <w:spacing w:line="24" w:lineRule="atLeast"/>
        <w:rPr>
          <w:rFonts w:eastAsia="Calibri"/>
          <w:b/>
          <w:bCs/>
          <w:color w:val="000000"/>
          <w:szCs w:val="23"/>
          <w:lang w:eastAsia="en-US"/>
        </w:rPr>
      </w:pPr>
      <w:r>
        <w:rPr>
          <w:rFonts w:eastAsia="Calibri"/>
          <w:b/>
          <w:bCs/>
          <w:color w:val="000000"/>
          <w:szCs w:val="23"/>
          <w:lang w:eastAsia="en-US"/>
        </w:rPr>
        <w:t>„Dostawa i instalacja urządzeń brzegu sieci oraz p</w:t>
      </w:r>
      <w:r w:rsidRPr="006C2285">
        <w:rPr>
          <w:rFonts w:eastAsia="Calibri"/>
          <w:b/>
          <w:bCs/>
          <w:color w:val="000000"/>
          <w:szCs w:val="23"/>
          <w:lang w:eastAsia="en-US"/>
        </w:rPr>
        <w:t>rzedłużenie subskrypcji i wsparcia dla posiadanych urządzeń bezpieczeństwa brzegu sieci w sądach apelacji białostockiej</w:t>
      </w:r>
      <w:r>
        <w:rPr>
          <w:rFonts w:eastAsia="Calibri"/>
          <w:b/>
          <w:bCs/>
          <w:color w:val="000000"/>
          <w:szCs w:val="23"/>
          <w:lang w:eastAsia="en-US"/>
        </w:rPr>
        <w:t>”</w:t>
      </w:r>
    </w:p>
    <w:p w14:paraId="6FE33FA7" w14:textId="77777777" w:rsidR="00293C9B" w:rsidRDefault="00293C9B" w:rsidP="00293C9B">
      <w:pPr>
        <w:spacing w:line="24" w:lineRule="atLeast"/>
        <w:ind w:left="720" w:hanging="720"/>
        <w:jc w:val="both"/>
        <w:rPr>
          <w:b/>
          <w:u w:val="single"/>
        </w:rPr>
      </w:pPr>
    </w:p>
    <w:p w14:paraId="3A707D2D" w14:textId="77777777" w:rsidR="00293C9B" w:rsidRDefault="00293C9B" w:rsidP="00293C9B">
      <w:pPr>
        <w:spacing w:line="24" w:lineRule="atLeast"/>
        <w:ind w:left="720" w:hanging="720"/>
        <w:jc w:val="both"/>
        <w:rPr>
          <w:b/>
          <w:u w:val="single"/>
        </w:rPr>
      </w:pPr>
    </w:p>
    <w:p w14:paraId="36BB808B" w14:textId="7C0DD9FB" w:rsidR="002F4F56" w:rsidRDefault="002F4F56" w:rsidP="00293C9B">
      <w:pPr>
        <w:spacing w:line="24" w:lineRule="atLeast"/>
        <w:ind w:left="720" w:hanging="720"/>
        <w:jc w:val="both"/>
        <w:rPr>
          <w:b/>
          <w:u w:val="single"/>
        </w:rPr>
      </w:pPr>
      <w:r w:rsidRPr="001F4C7B">
        <w:rPr>
          <w:b/>
          <w:u w:val="single"/>
        </w:rPr>
        <w:t>CZĘŚĆ 1 ZAMÓWIENIA</w:t>
      </w:r>
    </w:p>
    <w:p w14:paraId="523F286A" w14:textId="77777777" w:rsidR="002F4F56" w:rsidRPr="001F4C7B" w:rsidRDefault="002F4F56" w:rsidP="00293C9B">
      <w:pPr>
        <w:spacing w:line="24" w:lineRule="atLeast"/>
        <w:ind w:left="720" w:hanging="720"/>
        <w:jc w:val="both"/>
        <w:rPr>
          <w:b/>
          <w:u w:val="single"/>
        </w:rPr>
      </w:pPr>
    </w:p>
    <w:p w14:paraId="0743005E" w14:textId="77777777" w:rsidR="002F4F56" w:rsidRPr="00746D81" w:rsidRDefault="002F4F56" w:rsidP="00293C9B">
      <w:pPr>
        <w:spacing w:line="24" w:lineRule="atLeast"/>
        <w:jc w:val="both"/>
        <w:rPr>
          <w:rFonts w:asciiTheme="minorHAnsi" w:hAnsiTheme="minorHAnsi" w:cstheme="minorHAnsi"/>
          <w:b/>
          <w:bCs/>
        </w:rPr>
      </w:pPr>
    </w:p>
    <w:p w14:paraId="3071D923" w14:textId="641629D3" w:rsidR="002F4F56" w:rsidRPr="00293C9B" w:rsidRDefault="002F4F56" w:rsidP="00293C9B">
      <w:pPr>
        <w:pStyle w:val="Akapitzlist"/>
        <w:numPr>
          <w:ilvl w:val="0"/>
          <w:numId w:val="37"/>
        </w:numPr>
        <w:spacing w:after="0" w:line="24" w:lineRule="atLeast"/>
        <w:ind w:left="426" w:hanging="426"/>
        <w:contextualSpacing w:val="0"/>
        <w:jc w:val="both"/>
        <w:rPr>
          <w:rFonts w:asciiTheme="minorHAnsi" w:hAnsiTheme="minorHAnsi" w:cstheme="minorHAnsi"/>
          <w:b/>
          <w:bCs/>
        </w:rPr>
      </w:pPr>
      <w:r w:rsidRPr="00293C9B">
        <w:rPr>
          <w:rFonts w:asciiTheme="minorHAnsi" w:hAnsiTheme="minorHAnsi" w:cstheme="minorHAnsi"/>
          <w:b/>
          <w:bCs/>
        </w:rPr>
        <w:t>PRZEDMIOT ZAMÓWIENIA</w:t>
      </w:r>
    </w:p>
    <w:p w14:paraId="1A569ADE" w14:textId="350A826C"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Przedmiotem zamówienia jest</w:t>
      </w:r>
      <w:r w:rsidR="00293C9B">
        <w:rPr>
          <w:rFonts w:asciiTheme="minorHAnsi" w:hAnsiTheme="minorHAnsi" w:cstheme="minorHAnsi"/>
          <w:sz w:val="22"/>
          <w:szCs w:val="22"/>
        </w:rPr>
        <w:t>:</w:t>
      </w:r>
      <w:r w:rsidRPr="00293C9B">
        <w:rPr>
          <w:rFonts w:asciiTheme="minorHAnsi" w:hAnsiTheme="minorHAnsi" w:cstheme="minorHAnsi"/>
          <w:sz w:val="22"/>
          <w:szCs w:val="22"/>
        </w:rPr>
        <w:t xml:space="preserve"> </w:t>
      </w:r>
    </w:p>
    <w:p w14:paraId="078005B4" w14:textId="77777777" w:rsidR="002F4F56" w:rsidRPr="00293C9B" w:rsidRDefault="002F4F56" w:rsidP="00293C9B">
      <w:pPr>
        <w:spacing w:line="24" w:lineRule="atLeast"/>
        <w:jc w:val="both"/>
        <w:rPr>
          <w:rFonts w:asciiTheme="minorHAnsi" w:hAnsiTheme="minorHAnsi" w:cstheme="minorHAnsi"/>
          <w:sz w:val="22"/>
          <w:szCs w:val="22"/>
        </w:rPr>
      </w:pPr>
    </w:p>
    <w:p w14:paraId="55676FB4" w14:textId="0298D06F" w:rsidR="002F4F56" w:rsidRPr="00293C9B" w:rsidRDefault="002F4F56" w:rsidP="00293C9B">
      <w:pPr>
        <w:pStyle w:val="Akapitzlist"/>
        <w:numPr>
          <w:ilvl w:val="0"/>
          <w:numId w:val="36"/>
        </w:numP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 xml:space="preserve">dostawa urządzeń do zabezpieczenia ruchu sieciowego w postaci rozwiązań Next Generation Firewall (NGFW) wraz z ich montażem, konfiguracją i uruchomieniem. </w:t>
      </w:r>
    </w:p>
    <w:p w14:paraId="7C3537C2" w14:textId="29B5301F" w:rsidR="002F4F56" w:rsidRPr="00293C9B" w:rsidRDefault="002F4F56" w:rsidP="00293C9B">
      <w:pPr>
        <w:pStyle w:val="Akapitzlist"/>
        <w:numPr>
          <w:ilvl w:val="0"/>
          <w:numId w:val="36"/>
        </w:numPr>
        <w:pBdr>
          <w:top w:val="nil"/>
          <w:left w:val="nil"/>
          <w:bottom w:val="nil"/>
          <w:right w:val="nil"/>
          <w:between w:val="nil"/>
        </w:pBd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świadczenie przez Wykonawcę, usług serwisu gwarancyjnego, obejmujących usuwanie zgłoszonych awarii i usterek dla sprzętu oraz oprogramowania Zamawiającego, a w razie konieczności jego wymianę;</w:t>
      </w:r>
    </w:p>
    <w:p w14:paraId="20A918D8" w14:textId="77777777" w:rsidR="002F4F56" w:rsidRPr="00293C9B"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22AEA9E" w14:textId="77777777" w:rsidR="002F4F56" w:rsidRPr="00293C9B" w:rsidRDefault="002F4F56" w:rsidP="00293C9B">
      <w:pPr>
        <w:pStyle w:val="Akapitzlist"/>
        <w:pBdr>
          <w:top w:val="nil"/>
          <w:left w:val="nil"/>
          <w:bottom w:val="nil"/>
          <w:right w:val="nil"/>
          <w:between w:val="nil"/>
        </w:pBdr>
        <w:spacing w:after="0" w:line="24" w:lineRule="atLeast"/>
        <w:contextualSpacing w:val="0"/>
        <w:jc w:val="both"/>
        <w:rPr>
          <w:rFonts w:asciiTheme="minorHAnsi" w:eastAsia="Times New Roman" w:hAnsiTheme="minorHAnsi" w:cstheme="minorHAnsi"/>
        </w:rPr>
      </w:pPr>
    </w:p>
    <w:p w14:paraId="13776234"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NIETECHNICZNE CECHY URZĄDZEŃ</w:t>
      </w:r>
    </w:p>
    <w:p w14:paraId="65FF1E35" w14:textId="77777777" w:rsidR="002F4F56" w:rsidRPr="00293C9B" w:rsidRDefault="002F4F56" w:rsidP="00293C9B">
      <w:pPr>
        <w:spacing w:line="24" w:lineRule="atLeast"/>
        <w:jc w:val="both"/>
        <w:rPr>
          <w:rFonts w:asciiTheme="minorHAnsi" w:hAnsiTheme="minorHAnsi" w:cstheme="minorHAnsi"/>
          <w:sz w:val="22"/>
          <w:szCs w:val="22"/>
        </w:rPr>
      </w:pPr>
    </w:p>
    <w:p w14:paraId="0736D5BD"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Przedmiot zamówienia musi być legalny, fabrycznie nowy, nigdy wcześniej nie używany, pochodzący z legalnego kanału dystrybucyjnego, dopuszczony do obrotu, spełniający normy CE. Nie dopuszcza się urządzeń typu refurbished (zwróconych do producenta i później odsprzedawanych ponownie przez producenta).</w:t>
      </w:r>
    </w:p>
    <w:p w14:paraId="5DB25826"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Zamawiający wymaga, aby wszystkie dostarczane urządzenia i pakiety oprogramowania były sprawdzone w praktyce rynkowej. Oznacza to, iż oprogramowanie systemowe (firmware urządzeń) realizujące wszystkie wymagane funkcje jak też samo urządzenie musiało być dostępne na rynku co najmniej 6 miesięcy przed terminem składania ofert. </w:t>
      </w:r>
    </w:p>
    <w:p w14:paraId="1DEC9541"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Urządzenie i powiązane z nim oprogramowanie systemowe musi być objęte pełnym serwisem producenta (niedopuszczalne jest proponowanie oprogramowanie np. w wersji Beta) w chwili, i co najmniej w okresie 6 miesięcy przed złożeniem ofert. Za datę jego dostępności Zamawiający przyjmuje publikację konkretnej oferowanej wersji oprogramowania (wersji z pełnym wsparciem) na stronie Producenta rozwiązania</w:t>
      </w:r>
    </w:p>
    <w:p w14:paraId="1826A439" w14:textId="77777777" w:rsidR="002F4F56" w:rsidRPr="00293C9B" w:rsidRDefault="002F4F56" w:rsidP="00293C9B">
      <w:pPr>
        <w:numPr>
          <w:ilvl w:val="0"/>
          <w:numId w:val="12"/>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Zamawiający wymaga, aby zaoferowane urządzenia były dostępne i serwisowane przez Producenta oraz nie będą przez niego przewidziane do wycofania ze sprzedaży i wsparcia (ogłoszone tzw. dokumenty End-of-Sale lub End-of-Life lub równoważne) – na dzień składania oferty.</w:t>
      </w:r>
    </w:p>
    <w:p w14:paraId="1D76EEBC" w14:textId="77777777" w:rsidR="002F4F56" w:rsidRPr="00293C9B" w:rsidRDefault="002F4F56" w:rsidP="00293C9B">
      <w:pPr>
        <w:spacing w:line="24" w:lineRule="atLeast"/>
        <w:jc w:val="both"/>
        <w:rPr>
          <w:rFonts w:asciiTheme="minorHAnsi" w:hAnsiTheme="minorHAnsi" w:cstheme="minorHAnsi"/>
          <w:sz w:val="22"/>
          <w:szCs w:val="22"/>
        </w:rPr>
      </w:pPr>
    </w:p>
    <w:p w14:paraId="76B15578" w14:textId="77777777" w:rsidR="002F4F56" w:rsidRPr="00293C9B" w:rsidRDefault="002F4F56" w:rsidP="00293C9B">
      <w:pPr>
        <w:spacing w:line="24" w:lineRule="atLeast"/>
        <w:rPr>
          <w:rFonts w:asciiTheme="minorHAnsi" w:hAnsiTheme="minorHAnsi" w:cstheme="minorHAnsi"/>
          <w:i/>
          <w:iCs/>
          <w:sz w:val="22"/>
          <w:szCs w:val="22"/>
        </w:rPr>
      </w:pPr>
    </w:p>
    <w:p w14:paraId="0C28DF1F"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DODATKOWE SYSTEMY ZEWNĘTRZNE</w:t>
      </w:r>
    </w:p>
    <w:p w14:paraId="17046BED" w14:textId="77777777" w:rsidR="002F4F56" w:rsidRPr="00293C9B" w:rsidRDefault="002F4F56" w:rsidP="00293C9B">
      <w:pPr>
        <w:spacing w:line="24" w:lineRule="atLeast"/>
        <w:jc w:val="both"/>
        <w:rPr>
          <w:rFonts w:asciiTheme="minorHAnsi" w:hAnsiTheme="minorHAnsi" w:cstheme="minorHAnsi"/>
          <w:i/>
          <w:iCs/>
          <w:sz w:val="22"/>
          <w:szCs w:val="22"/>
        </w:rPr>
      </w:pPr>
    </w:p>
    <w:p w14:paraId="1FAD1766"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Zamawiający dopuszcza, aby całościowy system bezpieczeństwa był zbudowany w oparciu o wymagane komponenty opisane w OPZ wraz z elementami dodatkowymi, których zastosowanie jest opcjonalne i dobrowolne. Decyzja o ich zastosowaniu leży w gestii Wykonawcy – jeżeli uzna on, iż dla osiągnięcia opisanych wymagań niezbędne są dodatkowe systemy zewnętrzne to Zamawiający zezwala na ich zastosowanie pod warunkami opisanymi poniżej:</w:t>
      </w:r>
    </w:p>
    <w:p w14:paraId="4E6775A7"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nie może dotyczyć funkcji ochronnych NGFW (np. wykrywania aplikacji, obsługi IPS, AV czy NAT);</w:t>
      </w:r>
    </w:p>
    <w:p w14:paraId="72195A16"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nie może powodować ominięcia reguł bezpieczeństwa</w:t>
      </w:r>
    </w:p>
    <w:p w14:paraId="51A1F6B3" w14:textId="77777777" w:rsidR="002F4F56" w:rsidRPr="00293C9B" w:rsidRDefault="002F4F56" w:rsidP="00293C9B">
      <w:pPr>
        <w:spacing w:line="24" w:lineRule="atLeast"/>
        <w:jc w:val="both"/>
        <w:rPr>
          <w:rFonts w:asciiTheme="minorHAnsi" w:hAnsiTheme="minorHAnsi" w:cstheme="minorHAnsi"/>
          <w:sz w:val="22"/>
          <w:szCs w:val="22"/>
        </w:rPr>
      </w:pPr>
    </w:p>
    <w:p w14:paraId="4D8222D8" w14:textId="77777777" w:rsidR="002F4F56" w:rsidRPr="00293C9B" w:rsidRDefault="002F4F56" w:rsidP="00293C9B">
      <w:pPr>
        <w:spacing w:line="24" w:lineRule="atLeast"/>
        <w:jc w:val="both"/>
        <w:rPr>
          <w:rFonts w:asciiTheme="minorHAnsi" w:hAnsiTheme="minorHAnsi" w:cstheme="minorHAnsi"/>
          <w:sz w:val="22"/>
          <w:szCs w:val="22"/>
        </w:rPr>
      </w:pPr>
    </w:p>
    <w:p w14:paraId="147F8EF0"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lastRenderedPageBreak/>
        <w:t>Przykładowo stosowanie dodatkowych systemów jest dopuszczalne, gdy są one konieczne np. dla:</w:t>
      </w:r>
    </w:p>
    <w:p w14:paraId="7C9B5830" w14:textId="77777777" w:rsidR="002F4F56" w:rsidRPr="00293C9B" w:rsidRDefault="002F4F56" w:rsidP="00293C9B">
      <w:pPr>
        <w:numPr>
          <w:ilvl w:val="0"/>
          <w:numId w:val="14"/>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weryfikacji tożsamości użytkowników – system uwierzytelniania;</w:t>
      </w:r>
    </w:p>
    <w:p w14:paraId="6E9322D2"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realizacji funkcji zarządzania firewallem i uprawnieniami administratorów;</w:t>
      </w:r>
    </w:p>
    <w:p w14:paraId="1DABB605"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realizacji funkcji inspekcji ruchu SSL;</w:t>
      </w:r>
    </w:p>
    <w:p w14:paraId="5F72AEAA"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ochrony day-zero (sandbox)</w:t>
      </w:r>
    </w:p>
    <w:p w14:paraId="4DA38939" w14:textId="77777777" w:rsidR="002F4F56" w:rsidRPr="00293C9B" w:rsidRDefault="002F4F56" w:rsidP="00293C9B">
      <w:pPr>
        <w:numPr>
          <w:ilvl w:val="0"/>
          <w:numId w:val="13"/>
        </w:numPr>
        <w:pBdr>
          <w:top w:val="nil"/>
          <w:left w:val="nil"/>
          <w:bottom w:val="nil"/>
          <w:right w:val="nil"/>
          <w:between w:val="nil"/>
        </w:pBd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realizacji zaawansowanych funkcji ochrony wymagających pobierania danych z chmury Threat Intelligence producenta oferowanego rozwiązania.</w:t>
      </w:r>
    </w:p>
    <w:p w14:paraId="15D424E7" w14:textId="77777777" w:rsidR="002F4F56" w:rsidRPr="00293C9B" w:rsidRDefault="002F4F56" w:rsidP="00293C9B">
      <w:pPr>
        <w:spacing w:line="24" w:lineRule="atLeast"/>
        <w:jc w:val="both"/>
        <w:rPr>
          <w:rFonts w:asciiTheme="minorHAnsi" w:hAnsiTheme="minorHAnsi" w:cstheme="minorHAnsi"/>
          <w:sz w:val="22"/>
          <w:szCs w:val="22"/>
        </w:rPr>
      </w:pPr>
    </w:p>
    <w:p w14:paraId="0698798E"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Stosowanie dodatkowych systemów jest możliwe tylko przy założeniu zapewnienia ich wysokiej dostępności. Oznacza to, że należy dostarczyć każdy taki system jako dedykowane rozwiązanie (urządzenie z dedykowanym dla niego oprogramowaniem serwisowane w całości przez jednego producenta); system musi być dostarczony jako klaster niezawodnościowy – tzn. identyczne urządzenia pracujące równolegle w modelu 1+1 lub N+1, wyposażone w redundantne zasilacze z możliwością ich wymiany „na gorąco” (hot-swap). Dodatkowe systemy muszą zostać zaoferowane w konfiguracji sprzętowej „analogicznej” dla konfiguracji urządzeń NGFW.</w:t>
      </w:r>
    </w:p>
    <w:p w14:paraId="227BE294" w14:textId="77777777" w:rsidR="002F4F56" w:rsidRPr="00293C9B" w:rsidRDefault="002F4F56" w:rsidP="00293C9B">
      <w:pPr>
        <w:spacing w:line="24" w:lineRule="atLeast"/>
        <w:jc w:val="both"/>
        <w:rPr>
          <w:rFonts w:asciiTheme="minorHAnsi" w:hAnsiTheme="minorHAnsi" w:cstheme="minorHAnsi"/>
          <w:sz w:val="22"/>
          <w:szCs w:val="22"/>
        </w:rPr>
      </w:pPr>
    </w:p>
    <w:p w14:paraId="05AFFEC4"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Systemy wspomagające muszą być zaoferowane w pełnym wsparciem producenta co oznacza wymóg zaoferowania wszystkich pakietów serwisowych dostępnych dla danego rozwiązania, w zakresie funkcjonalnym wymaganym przez Zamawiającego.</w:t>
      </w:r>
    </w:p>
    <w:p w14:paraId="4BCD651E" w14:textId="77777777" w:rsidR="002F4F56" w:rsidRPr="00293C9B" w:rsidRDefault="002F4F56" w:rsidP="00293C9B">
      <w:pPr>
        <w:spacing w:line="24" w:lineRule="atLeast"/>
        <w:jc w:val="both"/>
        <w:rPr>
          <w:rFonts w:asciiTheme="minorHAnsi" w:hAnsiTheme="minorHAnsi" w:cstheme="minorHAnsi"/>
          <w:sz w:val="22"/>
          <w:szCs w:val="22"/>
        </w:rPr>
      </w:pPr>
    </w:p>
    <w:p w14:paraId="21AD076B"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W przypadku stosowania systemów wspomagających Zamawiający wymaga by były one oferowane przez tego samego producenta co oferowany system firewall i całościowo serwisowane przez tego producenta.</w:t>
      </w:r>
    </w:p>
    <w:p w14:paraId="06024D58" w14:textId="77777777" w:rsidR="002F4F56" w:rsidRPr="00293C9B" w:rsidRDefault="002F4F56" w:rsidP="00293C9B">
      <w:pPr>
        <w:spacing w:line="24" w:lineRule="atLeast"/>
        <w:jc w:val="both"/>
        <w:rPr>
          <w:rFonts w:asciiTheme="minorHAnsi" w:hAnsiTheme="minorHAnsi" w:cstheme="minorHAnsi"/>
          <w:sz w:val="22"/>
          <w:szCs w:val="22"/>
        </w:rPr>
      </w:pPr>
    </w:p>
    <w:p w14:paraId="215DE8A9"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Zamawiający wymaga również, aby wszystkie dostarczane systemy wspomagające były sprawdzone w praktyce rynkowej i spełniały wymagania w tym obszarze analogicznie do firewalli, oznacza to, iż oprogramowanie systemowe realizujące wszystkie wymagane funkcje jak też samo urządzenie musiało być dostępne na rynku co najmniej 6 miesięcy przed terminem składania ofert.</w:t>
      </w:r>
    </w:p>
    <w:p w14:paraId="2AB35E02" w14:textId="77777777" w:rsidR="002F4F56" w:rsidRPr="00293C9B" w:rsidRDefault="002F4F56" w:rsidP="00293C9B">
      <w:pPr>
        <w:spacing w:line="24" w:lineRule="atLeast"/>
        <w:jc w:val="both"/>
        <w:rPr>
          <w:rFonts w:asciiTheme="minorHAnsi" w:hAnsiTheme="minorHAnsi" w:cstheme="minorHAnsi"/>
          <w:sz w:val="22"/>
          <w:szCs w:val="22"/>
        </w:rPr>
      </w:pPr>
    </w:p>
    <w:p w14:paraId="3E2A388F" w14:textId="77777777"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Zapewnienie redundancji nie jest wymagane dla usług realizowanych z chmury Threat Intelligence producenta oferowanego rozwiązania</w:t>
      </w:r>
    </w:p>
    <w:p w14:paraId="74C8AAE0" w14:textId="77777777" w:rsidR="002F4F56" w:rsidRPr="00293C9B" w:rsidRDefault="002F4F56" w:rsidP="00293C9B">
      <w:pPr>
        <w:spacing w:line="24" w:lineRule="atLeast"/>
        <w:rPr>
          <w:rFonts w:asciiTheme="minorHAnsi" w:hAnsiTheme="minorHAnsi" w:cstheme="minorHAnsi"/>
          <w:i/>
          <w:iCs/>
          <w:sz w:val="22"/>
          <w:szCs w:val="22"/>
        </w:rPr>
      </w:pPr>
    </w:p>
    <w:p w14:paraId="515046EA" w14:textId="77777777" w:rsidR="002F4F56" w:rsidRPr="00293C9B" w:rsidRDefault="002F4F56" w:rsidP="00293C9B">
      <w:pPr>
        <w:spacing w:line="24" w:lineRule="atLeast"/>
        <w:rPr>
          <w:rFonts w:asciiTheme="minorHAnsi" w:hAnsiTheme="minorHAnsi" w:cstheme="minorHAnsi"/>
          <w:i/>
          <w:iCs/>
          <w:sz w:val="22"/>
          <w:szCs w:val="22"/>
        </w:rPr>
      </w:pPr>
    </w:p>
    <w:p w14:paraId="6E90484B" w14:textId="0B9497F7" w:rsidR="002F4F56" w:rsidRPr="00293C9B" w:rsidRDefault="002F4F56" w:rsidP="00293C9B">
      <w:pPr>
        <w:pStyle w:val="Akapitzlist"/>
        <w:numPr>
          <w:ilvl w:val="0"/>
          <w:numId w:val="16"/>
        </w:numPr>
        <w:spacing w:after="0" w:line="24" w:lineRule="atLeast"/>
        <w:ind w:left="426"/>
        <w:contextualSpacing w:val="0"/>
        <w:jc w:val="both"/>
        <w:rPr>
          <w:rFonts w:asciiTheme="minorHAnsi" w:eastAsia="Times New Roman" w:hAnsiTheme="minorHAnsi" w:cstheme="minorHAnsi"/>
          <w:b/>
          <w:bCs/>
        </w:rPr>
      </w:pPr>
      <w:r w:rsidRPr="00293C9B">
        <w:rPr>
          <w:rFonts w:asciiTheme="minorHAnsi" w:eastAsia="Times New Roman" w:hAnsiTheme="minorHAnsi" w:cstheme="minorHAnsi"/>
          <w:b/>
          <w:bCs/>
        </w:rPr>
        <w:t>Wymagania ogólne dla NGFW</w:t>
      </w:r>
      <w:r w:rsidR="00BA40B7">
        <w:rPr>
          <w:rFonts w:asciiTheme="minorHAnsi" w:eastAsia="Times New Roman" w:hAnsiTheme="minorHAnsi" w:cstheme="minorHAnsi"/>
          <w:b/>
          <w:bCs/>
        </w:rPr>
        <w:t xml:space="preserve"> </w:t>
      </w:r>
      <w:r w:rsidRPr="00293C9B">
        <w:rPr>
          <w:rFonts w:asciiTheme="minorHAnsi" w:eastAsia="Times New Roman" w:hAnsiTheme="minorHAnsi" w:cstheme="minorHAnsi"/>
          <w:b/>
          <w:bCs/>
        </w:rPr>
        <w:t>– ilość sztuk 1</w:t>
      </w:r>
      <w:r w:rsidR="00BA40B7">
        <w:rPr>
          <w:rFonts w:asciiTheme="minorHAnsi" w:eastAsia="Times New Roman" w:hAnsiTheme="minorHAnsi" w:cstheme="minorHAnsi"/>
          <w:b/>
          <w:bCs/>
        </w:rPr>
        <w:t>5</w:t>
      </w:r>
    </w:p>
    <w:p w14:paraId="30325F02" w14:textId="77777777" w:rsidR="002F4F56" w:rsidRPr="00293C9B" w:rsidRDefault="002F4F56" w:rsidP="00293C9B">
      <w:pPr>
        <w:spacing w:line="24" w:lineRule="atLeast"/>
        <w:jc w:val="both"/>
        <w:rPr>
          <w:rFonts w:asciiTheme="minorHAnsi" w:hAnsiTheme="minorHAnsi" w:cstheme="minorHAnsi"/>
          <w:sz w:val="22"/>
          <w:szCs w:val="22"/>
        </w:rPr>
      </w:pPr>
    </w:p>
    <w:p w14:paraId="71EF20AA" w14:textId="7DC50799" w:rsid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Firewalle muszą być dostarczone w postaci dedykowanych rozwiązań sprzętowo-programowych – tzw. appliance.</w:t>
      </w:r>
    </w:p>
    <w:p w14:paraId="0AC183E1" w14:textId="77777777" w:rsidR="00293C9B" w:rsidRDefault="00293C9B" w:rsidP="00293C9B">
      <w:pPr>
        <w:spacing w:line="24" w:lineRule="atLeast"/>
        <w:ind w:left="426"/>
        <w:jc w:val="both"/>
        <w:rPr>
          <w:rFonts w:asciiTheme="minorHAnsi" w:hAnsiTheme="minorHAnsi" w:cstheme="minorHAnsi"/>
          <w:b/>
          <w:bCs/>
          <w:sz w:val="22"/>
          <w:szCs w:val="22"/>
        </w:rPr>
      </w:pPr>
    </w:p>
    <w:p w14:paraId="7AD7874C" w14:textId="4BBECDEF"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Cechy podstawowe:</w:t>
      </w:r>
    </w:p>
    <w:p w14:paraId="59F4B208" w14:textId="77777777" w:rsidR="002F4F56" w:rsidRPr="00293C9B" w:rsidRDefault="002F4F56" w:rsidP="00293C9B">
      <w:pPr>
        <w:pStyle w:val="Akapitzlist"/>
        <w:numPr>
          <w:ilvl w:val="0"/>
          <w:numId w:val="24"/>
        </w:numPr>
        <w:spacing w:after="0" w:line="24" w:lineRule="atLeast"/>
        <w:contextualSpacing w:val="0"/>
        <w:rPr>
          <w:rFonts w:asciiTheme="minorHAnsi" w:eastAsia="Times New Roman" w:hAnsiTheme="minorHAnsi" w:cstheme="minorHAnsi"/>
          <w:lang w:eastAsia="pl-PL"/>
        </w:rPr>
      </w:pPr>
      <w:r w:rsidRPr="00293C9B">
        <w:rPr>
          <w:rFonts w:asciiTheme="minorHAnsi" w:eastAsia="Times New Roman" w:hAnsiTheme="minorHAnsi" w:cstheme="minorHAnsi"/>
          <w:lang w:eastAsia="pl-PL"/>
        </w:rPr>
        <w:t>Urządzenie brzegowe, zapewniające możliwość realizacji funkcjonalności FW lub NGFW, VPN, IDS, IPS lub NGIPS albo filtrowania treści</w:t>
      </w:r>
    </w:p>
    <w:p w14:paraId="1B5ED5D8"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Wydajność filtracji na poziomie co najmniej 500 Mbps</w:t>
      </w:r>
    </w:p>
    <w:p w14:paraId="203E7964"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Obsługa IPv4 i IPv6</w:t>
      </w:r>
    </w:p>
    <w:p w14:paraId="17C3B477" w14:textId="77777777" w:rsidR="002F4F56" w:rsidRPr="00293C9B" w:rsidRDefault="002F4F56" w:rsidP="00293C9B">
      <w:pPr>
        <w:numPr>
          <w:ilvl w:val="0"/>
          <w:numId w:val="24"/>
        </w:numPr>
        <w:spacing w:line="24" w:lineRule="atLeast"/>
        <w:rPr>
          <w:rFonts w:asciiTheme="minorHAnsi" w:hAnsiTheme="minorHAnsi" w:cstheme="minorHAnsi"/>
          <w:sz w:val="22"/>
          <w:szCs w:val="22"/>
        </w:rPr>
      </w:pPr>
      <w:r w:rsidRPr="00293C9B">
        <w:rPr>
          <w:rFonts w:asciiTheme="minorHAnsi" w:hAnsiTheme="minorHAnsi" w:cstheme="minorHAnsi"/>
          <w:sz w:val="22"/>
          <w:szCs w:val="22"/>
        </w:rPr>
        <w:t>Możliwość zarządzania za pomocą standardowych protokołów (co najmniej SSH, HTTP) przez IPv4 i IPv6</w:t>
      </w:r>
    </w:p>
    <w:p w14:paraId="49EF097A" w14:textId="77777777" w:rsidR="002F4F56" w:rsidRPr="00293C9B" w:rsidRDefault="002F4F56" w:rsidP="00293C9B">
      <w:pPr>
        <w:pStyle w:val="Akapitzlist"/>
        <w:numPr>
          <w:ilvl w:val="0"/>
          <w:numId w:val="24"/>
        </w:numPr>
        <w:spacing w:after="0" w:line="24" w:lineRule="atLeast"/>
        <w:contextualSpacing w:val="0"/>
        <w:jc w:val="both"/>
        <w:rPr>
          <w:rFonts w:asciiTheme="minorHAnsi" w:eastAsia="Times New Roman" w:hAnsiTheme="minorHAnsi" w:cstheme="minorHAnsi"/>
          <w:b/>
          <w:bCs/>
        </w:rPr>
      </w:pPr>
      <w:r w:rsidRPr="00293C9B">
        <w:rPr>
          <w:rFonts w:asciiTheme="minorHAnsi" w:eastAsia="Times New Roman" w:hAnsiTheme="minorHAnsi" w:cstheme="minorHAnsi"/>
          <w:lang w:eastAsia="pl-PL"/>
        </w:rPr>
        <w:t>Obudowa typu desktop z możliwością montażu na ścianie lub w szafie rack 19”</w:t>
      </w:r>
    </w:p>
    <w:p w14:paraId="724B7BC3" w14:textId="77777777" w:rsidR="002F4F56" w:rsidRPr="00293C9B" w:rsidRDefault="002F4F56" w:rsidP="00293C9B">
      <w:pPr>
        <w:spacing w:line="24" w:lineRule="atLeast"/>
        <w:ind w:left="426"/>
        <w:jc w:val="both"/>
        <w:rPr>
          <w:rFonts w:asciiTheme="minorHAnsi" w:hAnsiTheme="minorHAnsi" w:cstheme="minorHAnsi"/>
          <w:b/>
          <w:bCs/>
          <w:sz w:val="22"/>
          <w:szCs w:val="22"/>
        </w:rPr>
      </w:pPr>
    </w:p>
    <w:p w14:paraId="54D7DE00" w14:textId="77777777" w:rsidR="002F4F56" w:rsidRPr="00293C9B" w:rsidRDefault="002F4F56" w:rsidP="00293C9B">
      <w:pPr>
        <w:spacing w:line="24" w:lineRule="atLeast"/>
        <w:ind w:left="426"/>
        <w:jc w:val="both"/>
        <w:rPr>
          <w:rFonts w:asciiTheme="minorHAnsi" w:hAnsiTheme="minorHAnsi" w:cstheme="minorHAnsi"/>
          <w:sz w:val="22"/>
          <w:szCs w:val="22"/>
        </w:rPr>
      </w:pPr>
    </w:p>
    <w:p w14:paraId="786C9112" w14:textId="77777777"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 xml:space="preserve">Cechy wydajnościowe: </w:t>
      </w:r>
    </w:p>
    <w:p w14:paraId="2512CA89"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2.6 Gbps przepustowości Firewall/kontroli aplikacji;</w:t>
      </w:r>
    </w:p>
    <w:p w14:paraId="5CF0C182"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1.2 Gbps przepustowości Firewall/kontroli aplikacji/IPS/Antywirus/Antymalware;</w:t>
      </w:r>
    </w:p>
    <w:p w14:paraId="1B3C8CF8"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lastRenderedPageBreak/>
        <w:t>1.1 Gbps dla IPsec VPN;</w:t>
      </w:r>
    </w:p>
    <w:p w14:paraId="7CF8B96B"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200 000 jednoczesnych sesji; </w:t>
      </w:r>
    </w:p>
    <w:p w14:paraId="6CEE27F8"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34 000 nowych połączeń na sekundę; </w:t>
      </w:r>
    </w:p>
    <w:p w14:paraId="078036BB"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1000 tuneli SSL VPN Remote Access z wykorzystaniem klienta VPN; </w:t>
      </w:r>
    </w:p>
    <w:p w14:paraId="5CC04B1F"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3 wirtualnych routerów posiadających odrębne tabele routingu; </w:t>
      </w:r>
    </w:p>
    <w:p w14:paraId="580EBE06" w14:textId="77777777" w:rsidR="002F4F56" w:rsidRPr="00293C9B" w:rsidRDefault="002F4F56" w:rsidP="00293C9B">
      <w:pPr>
        <w:numPr>
          <w:ilvl w:val="1"/>
          <w:numId w:val="17"/>
        </w:numPr>
        <w:spacing w:line="24" w:lineRule="atLeast"/>
        <w:ind w:left="709" w:hanging="338"/>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licencyjnej rozbudowy do 2 wirtualnych instancji firewall (określanych jako kontekst/domena/system). Każda z instancji musi pozwalać na konfigurację niezależnych oraz odrębnych od innych instancji – polityk bezpieczeństwa (co najmniej dla IPS, AV i współpracy z sandboxem), tablicy routingu oraz realizacji zdalnego dostępu. </w:t>
      </w:r>
    </w:p>
    <w:p w14:paraId="489CDD3F" w14:textId="77777777" w:rsidR="002F4F56" w:rsidRPr="00293C9B" w:rsidRDefault="002F4F56" w:rsidP="00293C9B">
      <w:pPr>
        <w:spacing w:line="24" w:lineRule="atLeast"/>
        <w:jc w:val="both"/>
        <w:rPr>
          <w:rFonts w:asciiTheme="minorHAnsi" w:hAnsiTheme="minorHAnsi" w:cstheme="minorHAnsi"/>
          <w:sz w:val="22"/>
          <w:szCs w:val="22"/>
        </w:rPr>
      </w:pPr>
    </w:p>
    <w:p w14:paraId="44E09766" w14:textId="77777777" w:rsidR="002F4F56" w:rsidRPr="00293C9B" w:rsidRDefault="002F4F56" w:rsidP="00293C9B">
      <w:pPr>
        <w:numPr>
          <w:ilvl w:val="0"/>
          <w:numId w:val="17"/>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Cechy urządzenia – interfejsy, zasilanie:</w:t>
      </w:r>
    </w:p>
    <w:p w14:paraId="2C79208F"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Wysokość maksymalnie 1U wraz z zestawem montażowym do szafy RACK 19”;</w:t>
      </w:r>
    </w:p>
    <w:p w14:paraId="3DE2C852" w14:textId="6FD66031"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dwa redundantne zasilacze AC 230V z kompletami kabli;</w:t>
      </w:r>
    </w:p>
    <w:p w14:paraId="402BB85F"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 xml:space="preserve">8 portów 1-GigabitEthernet RJ45 </w:t>
      </w:r>
    </w:p>
    <w:p w14:paraId="684CF265" w14:textId="77777777" w:rsidR="002F4F56" w:rsidRPr="00293C9B" w:rsidRDefault="002F4F56" w:rsidP="00293C9B">
      <w:pPr>
        <w:numPr>
          <w:ilvl w:val="1"/>
          <w:numId w:val="17"/>
        </w:numP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1 port 1-GigabitEthernet RJ45 wyłącznie do celów zarządzania</w:t>
      </w:r>
    </w:p>
    <w:p w14:paraId="6AFBFD62" w14:textId="77777777" w:rsidR="002F4F56" w:rsidRPr="00293C9B" w:rsidRDefault="002F4F56" w:rsidP="00293C9B">
      <w:pPr>
        <w:spacing w:line="24" w:lineRule="atLeast"/>
        <w:ind w:left="709"/>
        <w:jc w:val="both"/>
        <w:rPr>
          <w:rFonts w:asciiTheme="minorHAnsi" w:hAnsiTheme="minorHAnsi" w:cstheme="minorHAnsi"/>
          <w:sz w:val="22"/>
          <w:szCs w:val="22"/>
        </w:rPr>
      </w:pPr>
    </w:p>
    <w:p w14:paraId="7CC7F674"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Wymagania funkcjonalne dla rozwiązań NGFW</w:t>
      </w:r>
    </w:p>
    <w:p w14:paraId="1E46CDD5" w14:textId="77777777" w:rsidR="002F4F56" w:rsidRPr="00293C9B" w:rsidRDefault="002F4F56" w:rsidP="00293C9B">
      <w:pPr>
        <w:spacing w:line="24" w:lineRule="atLeast"/>
        <w:jc w:val="both"/>
        <w:rPr>
          <w:rFonts w:asciiTheme="minorHAnsi" w:hAnsiTheme="minorHAnsi" w:cstheme="minorHAnsi"/>
          <w:sz w:val="22"/>
          <w:szCs w:val="22"/>
        </w:rPr>
      </w:pPr>
    </w:p>
    <w:p w14:paraId="1D532A70"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b/>
          <w:bCs/>
          <w:sz w:val="22"/>
          <w:szCs w:val="22"/>
        </w:rPr>
        <w:t>UWAGA:</w:t>
      </w:r>
      <w:r w:rsidRPr="00293C9B">
        <w:rPr>
          <w:rFonts w:asciiTheme="minorHAnsi" w:hAnsiTheme="minorHAnsi" w:cstheme="minorHAnsi"/>
          <w:sz w:val="22"/>
          <w:szCs w:val="22"/>
        </w:rPr>
        <w:t xml:space="preserve"> Wszystkie wymienione poniżej funkcje muszą być dostępne i realizowane przez firewall jednocześnie. Nie jest dopuszczalne, aby realizacja jakiejkolwiek funkcjonalności powodowała konieczność przełączenia urządzenia w inny tryb pracy ograniczający lub uniemożliwiający skorzystanie z innej wymaganej funkcji. Podobnie uruchomienie jakiekolwiek opisanej funkcji nie może spowodować wyłączenie lub ograniczenie działania innej funkcji wymaganej przez Zamawiającego.</w:t>
      </w:r>
    </w:p>
    <w:p w14:paraId="1A8FDE29" w14:textId="77777777" w:rsidR="002F4F56" w:rsidRPr="00293C9B" w:rsidRDefault="002F4F56" w:rsidP="00293C9B">
      <w:pPr>
        <w:spacing w:line="24" w:lineRule="atLeast"/>
        <w:jc w:val="both"/>
        <w:rPr>
          <w:rFonts w:asciiTheme="minorHAnsi" w:hAnsiTheme="minorHAnsi" w:cstheme="minorHAnsi"/>
          <w:sz w:val="22"/>
          <w:szCs w:val="22"/>
        </w:rPr>
      </w:pPr>
    </w:p>
    <w:p w14:paraId="1C4A8BB6"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Cechy NGFW</w:t>
      </w:r>
    </w:p>
    <w:p w14:paraId="72DE7D29" w14:textId="77777777" w:rsidR="002F4F56" w:rsidRPr="00293C9B" w:rsidRDefault="002F4F56" w:rsidP="00293C9B">
      <w:pPr>
        <w:spacing w:line="24" w:lineRule="atLeast"/>
        <w:jc w:val="both"/>
        <w:rPr>
          <w:rFonts w:asciiTheme="minorHAnsi" w:hAnsiTheme="minorHAnsi" w:cstheme="minorHAnsi"/>
          <w:sz w:val="22"/>
          <w:szCs w:val="22"/>
        </w:rPr>
      </w:pPr>
    </w:p>
    <w:p w14:paraId="5C748900"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Rozpoznawanie aplikacji bez względu na numery portów, protokoły tunelowania </w:t>
      </w:r>
      <w:r w:rsidRPr="00293C9B">
        <w:rPr>
          <w:rFonts w:asciiTheme="minorHAnsi" w:hAnsiTheme="minorHAnsi" w:cstheme="minorHAnsi"/>
          <w:sz w:val="22"/>
          <w:szCs w:val="22"/>
        </w:rPr>
        <w:br/>
        <w:t>i szyfrowania (włącznie z P2P i IM). Identyfikacja aplikacji nie może wymagać podania w konfiguracji NGFW numeru lub zakresu portów, na których jest ona dokonywana. Należy założyć, że wszystkie aplikacje mogą występować na wszystkich 65 535 dostępnych portach. NFGW musi wykrywać co najmniej 4000 aplikacji predefiniowanych przez Producenta.</w:t>
      </w:r>
    </w:p>
    <w:p w14:paraId="7DB8AF9F"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Transparentne ustalenie tożsamości użytkowników</w:t>
      </w:r>
    </w:p>
    <w:p w14:paraId="313652CF"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Realizowanie funkcjonalności na bazie profili przypisywanych na poziomie reguł bezpieczeństwa:</w:t>
      </w:r>
    </w:p>
    <w:p w14:paraId="0C13A658"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 xml:space="preserve">Intrusion Prevention System (IPS), </w:t>
      </w:r>
    </w:p>
    <w:p w14:paraId="68E13AF5"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 xml:space="preserve">Antywirus (AV), </w:t>
      </w:r>
    </w:p>
    <w:p w14:paraId="239FC3AA"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Anty-Spyware / Anty-</w:t>
      </w:r>
      <w:proofErr w:type="gramStart"/>
      <w:r w:rsidRPr="00293C9B">
        <w:rPr>
          <w:rFonts w:asciiTheme="minorHAnsi" w:hAnsiTheme="minorHAnsi" w:cstheme="minorHAnsi"/>
          <w:sz w:val="22"/>
          <w:szCs w:val="22"/>
        </w:rPr>
        <w:t>Malware ,</w:t>
      </w:r>
      <w:proofErr w:type="gramEnd"/>
    </w:p>
    <w:p w14:paraId="4322117F"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Kategoryzacja URL i filtracja URL</w:t>
      </w:r>
    </w:p>
    <w:p w14:paraId="0D060C95"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ochrona DNS,</w:t>
      </w:r>
    </w:p>
    <w:p w14:paraId="3C1D62A2" w14:textId="77777777" w:rsidR="002F4F56" w:rsidRPr="00293C9B" w:rsidRDefault="002F4F56" w:rsidP="00293C9B">
      <w:pPr>
        <w:numPr>
          <w:ilvl w:val="1"/>
          <w:numId w:val="18"/>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sandbox lokalny lub chmurowy tego samego producenta</w:t>
      </w:r>
    </w:p>
    <w:p w14:paraId="4E5DA4A9"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Budowanie reguł bezpieczeństwa opierające się na podstawowych selektorach takich jak: strefy bezpieczeństwa źródłowe/docelowe, adresy IP źródłowe/docelowe, aplikacje (w warstwie L7 OSI), użytkownicy/grupy z Active Directory</w:t>
      </w:r>
    </w:p>
    <w:p w14:paraId="7982CFFE" w14:textId="77777777" w:rsidR="002F4F56" w:rsidRPr="00293C9B" w:rsidRDefault="002F4F56" w:rsidP="00293C9B">
      <w:pPr>
        <w:numPr>
          <w:ilvl w:val="0"/>
          <w:numId w:val="18"/>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System musi zapewniać możliwość łączenia w klaster Active-Active lub Active-Passive. W obu trybach system firewall zapewnia funkcję synchronizacji sesji</w:t>
      </w:r>
    </w:p>
    <w:p w14:paraId="2A7232FE" w14:textId="77777777" w:rsidR="002F4F56" w:rsidRPr="00293C9B" w:rsidRDefault="002F4F56" w:rsidP="00293C9B">
      <w:pPr>
        <w:spacing w:line="24" w:lineRule="atLeast"/>
        <w:ind w:left="284"/>
        <w:jc w:val="both"/>
        <w:rPr>
          <w:rFonts w:asciiTheme="minorHAnsi" w:hAnsiTheme="minorHAnsi" w:cstheme="minorHAnsi"/>
          <w:sz w:val="22"/>
          <w:szCs w:val="22"/>
        </w:rPr>
      </w:pPr>
    </w:p>
    <w:p w14:paraId="7A1B0D84" w14:textId="77777777" w:rsidR="002F4F56" w:rsidRPr="00293C9B" w:rsidRDefault="002F4F56" w:rsidP="00293C9B">
      <w:pPr>
        <w:spacing w:line="24" w:lineRule="atLeast"/>
        <w:jc w:val="both"/>
        <w:rPr>
          <w:rFonts w:asciiTheme="minorHAnsi" w:hAnsiTheme="minorHAnsi" w:cstheme="minorHAnsi"/>
          <w:b/>
          <w:bCs/>
          <w:i/>
          <w:iCs/>
          <w:sz w:val="22"/>
          <w:szCs w:val="22"/>
        </w:rPr>
      </w:pPr>
    </w:p>
    <w:p w14:paraId="7AE27996"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Silniki detekcyjne i ochronne NGFW</w:t>
      </w:r>
    </w:p>
    <w:p w14:paraId="5D5F5A6A" w14:textId="77777777" w:rsidR="002F4F56" w:rsidRPr="00293C9B" w:rsidRDefault="002F4F56" w:rsidP="00293C9B">
      <w:pPr>
        <w:spacing w:line="24" w:lineRule="atLeast"/>
        <w:jc w:val="both"/>
        <w:rPr>
          <w:rFonts w:asciiTheme="minorHAnsi" w:hAnsiTheme="minorHAnsi" w:cstheme="minorHAnsi"/>
          <w:i/>
          <w:iCs/>
          <w:sz w:val="22"/>
          <w:szCs w:val="22"/>
        </w:rPr>
      </w:pPr>
    </w:p>
    <w:p w14:paraId="2E1C7624" w14:textId="77777777" w:rsidR="002F4F56" w:rsidRPr="00293C9B" w:rsidRDefault="002F4F56" w:rsidP="00293C9B">
      <w:pPr>
        <w:pStyle w:val="Akapitzlist"/>
        <w:numPr>
          <w:ilvl w:val="0"/>
          <w:numId w:val="31"/>
        </w:numPr>
        <w:spacing w:after="0" w:line="24" w:lineRule="atLeast"/>
        <w:ind w:left="284"/>
        <w:contextualSpacing w:val="0"/>
        <w:jc w:val="both"/>
        <w:rPr>
          <w:rFonts w:asciiTheme="minorHAnsi" w:eastAsia="Times New Roman" w:hAnsiTheme="minorHAnsi" w:cstheme="minorHAnsi"/>
        </w:rPr>
      </w:pPr>
      <w:r w:rsidRPr="00293C9B">
        <w:rPr>
          <w:rFonts w:asciiTheme="minorHAnsi" w:eastAsia="Times New Roman" w:hAnsiTheme="minorHAnsi" w:cstheme="minorHAnsi"/>
        </w:rPr>
        <w:t xml:space="preserve">Bazy sygnatur IPS, AV, Anty-Spyware (lub innego silnika, jeżeli obejmuje on ochronę przed Spyware) muszą być przechowywane na NGFW, regularnie aktualizowane w sposób automatyczny. </w:t>
      </w:r>
    </w:p>
    <w:p w14:paraId="14ED108F"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lastRenderedPageBreak/>
        <w:t xml:space="preserve">Aktualizacje sygnatur AV muszą odbywać się nie rzadziej niż raz na 24 godziny. </w:t>
      </w:r>
    </w:p>
    <w:p w14:paraId="65A0EA61"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Musi być zapewniona możliwość tworzenia własnych sygnatur IPS bez wykorzystania zewnętrznych narzędzi (dopuszcza się tworzenie sygnatur z wykorzystaniem dostarczanego systemu zarządzania) czy wsparcia producenta.</w:t>
      </w:r>
    </w:p>
    <w:p w14:paraId="694C806D"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Urządzenie NGFW musi umożliwiać elastyczną konfigurację AV i IPS w szczególności wyłączenia części sygnatur dla określonych grup użytkowników i/lub aplikacji. Urządzenie musi umożliwiać uruchomienie funkcji IPS i AV z dokładnością do reguły bezpieczeństwa. Nie dopuszcza się by IPS i AV był uruchamiany dla całego urządzenia lub dla interfejsu fizycznego albo logicznego, gdzie administrator nie ma możliwości konfiguracji jaka część ruchu będzie podlegała inspekcji i w jakim zakresie.</w:t>
      </w:r>
    </w:p>
    <w:p w14:paraId="36E7B2BC"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Wykrywanie aktywności sieci typu Botnet. </w:t>
      </w:r>
    </w:p>
    <w:p w14:paraId="71C0A7AB"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Możliwość blokowania transmisji plików, co najmniej następujących typów: bat, cab, pliki MS Office, rar, zip, exe, gzip, hta, pdf, tar, tif. Rozpoznawanie pliku na podstawie nagłówka i typu MIME. </w:t>
      </w:r>
    </w:p>
    <w:p w14:paraId="06ED2F01" w14:textId="77777777" w:rsidR="002F4F56" w:rsidRPr="00293C9B"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Funkcja filtrowania ruchu URL w oparciu o automatycznie aktualizowaną bazę kategorii stron WWW i bazę reputacji tych stron. </w:t>
      </w:r>
    </w:p>
    <w:p w14:paraId="5430F1C9"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Ocena strony musi obejmować określenie jej kategorii (np. finanse, zakupy, sport, itp) </w:t>
      </w:r>
    </w:p>
    <w:p w14:paraId="74B87D3D"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Ocena strony musi obejmować określenie ryzyka do niej przypisanego (co najmniej wysokie-średnie-niskie). </w:t>
      </w:r>
    </w:p>
    <w:p w14:paraId="64A98977"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Musi być zapewniona możliwość tworzenia własnych list stron (whitelist oraz blacklist) bez wykorzystania zewnętrznych narzędzi czy wsparcia producenta z możliwością konfiguracji, gdzie własne listy będą miały wyższy priorytet niż klasyfikacja na bazie kategorii dostarczanych przez producenta.</w:t>
      </w:r>
    </w:p>
    <w:p w14:paraId="570B8141" w14:textId="77777777" w:rsidR="002F4F56" w:rsidRPr="00293C9B" w:rsidRDefault="002F4F56" w:rsidP="00293C9B">
      <w:pPr>
        <w:numPr>
          <w:ilvl w:val="0"/>
          <w:numId w:val="31"/>
        </w:numPr>
        <w:suppressAutoHyphens/>
        <w:spacing w:line="24" w:lineRule="atLeast"/>
        <w:ind w:left="284"/>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Funkcja ochrony przed zagrożeniami Zero Day oraz zapewnienie współpracy z sandboxem </w:t>
      </w:r>
    </w:p>
    <w:p w14:paraId="6F6A9172"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możliwość przesyłania do systemu sandbox (tego samego producenta co firewall) plików zdefiniowanych przez administratora (co najmniej exe, dll, java, MS Office, pdf). Zamawiający dopuszcza by odbywało się̨ to poprzez dedykowany mechanizm wbudowany w urządzenie lub przez jeden z wymaganych silników detekcyjnych przy czym funkcja ta musi mieć możliwość wskazania/wykluczania z filtrowania specyficznego ruchu sieciowego na podstawie zarówno kierunku transmisji (ruch wchodzący/wychodzący ze wskazanej strefy bezpieczeństwa), adresu źródłowego IP jak i adresu docelowego IP jak i rozpoznania aplikacji lub zdefiniowanych serwisów, np. poprzez numer portu, protokół transportowy;</w:t>
      </w:r>
    </w:p>
    <w:p w14:paraId="665AC5C3"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możliwość aktualizacji systemu firewall o nowo wykryte (w Sandbox) zagrożenia;</w:t>
      </w:r>
    </w:p>
    <w:p w14:paraId="4361B3B7"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administrator musi posiadać dostęp do raportów z sandboxa dotyczących plików wysyłanych przez urządzenia, jak również posiadać możliwość manualnego wysłania pliku (np. poprzez upload przez stronę www) do sandboxa;</w:t>
      </w:r>
    </w:p>
    <w:p w14:paraId="16384036" w14:textId="77777777" w:rsidR="002F4F56" w:rsidRPr="00293C9B" w:rsidRDefault="002F4F56" w:rsidP="00293C9B">
      <w:pPr>
        <w:pStyle w:val="Akapitzlist"/>
        <w:numPr>
          <w:ilvl w:val="1"/>
          <w:numId w:val="31"/>
        </w:numPr>
        <w:tabs>
          <w:tab w:val="left" w:pos="284"/>
        </w:tabs>
        <w:spacing w:after="0" w:line="24" w:lineRule="atLeast"/>
        <w:ind w:left="851"/>
        <w:contextualSpacing w:val="0"/>
        <w:jc w:val="both"/>
        <w:rPr>
          <w:rFonts w:asciiTheme="minorHAnsi" w:hAnsiTheme="minorHAnsi" w:cstheme="minorHAnsi"/>
        </w:rPr>
      </w:pPr>
      <w:r w:rsidRPr="00293C9B">
        <w:rPr>
          <w:rFonts w:asciiTheme="minorHAnsi" w:hAnsiTheme="minorHAnsi" w:cstheme="minorHAnsi"/>
        </w:rPr>
        <w:t>dopuszcza się zarówno realizację sandboxa w postaci chmury producenta jak i rozwiązania lokalnego. W tym drugim przypadku wymagane jest dostarczenie opisu współpracy proponowanej integracji z dostarczanym firewallem;</w:t>
      </w:r>
    </w:p>
    <w:p w14:paraId="07040B19"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hAnsiTheme="minorHAnsi" w:cstheme="minorHAnsi"/>
          <w:sz w:val="22"/>
          <w:szCs w:val="22"/>
        </w:rPr>
        <w:t xml:space="preserve">bez względu na użyte rozwiązanie, wymaga się wydajności zapewniającej jednoczesną analizę minimum </w:t>
      </w:r>
      <w:sdt>
        <w:sdtPr>
          <w:rPr>
            <w:rFonts w:asciiTheme="minorHAnsi" w:hAnsiTheme="minorHAnsi" w:cstheme="minorHAnsi"/>
            <w:sz w:val="22"/>
            <w:szCs w:val="22"/>
          </w:rPr>
          <w:tag w:val="goog_rdk_13"/>
          <w:id w:val="-976453227"/>
        </w:sdtPr>
        <w:sdtContent/>
      </w:sdt>
      <w:sdt>
        <w:sdtPr>
          <w:rPr>
            <w:rFonts w:asciiTheme="minorHAnsi" w:hAnsiTheme="minorHAnsi" w:cstheme="minorHAnsi"/>
            <w:sz w:val="22"/>
            <w:szCs w:val="22"/>
          </w:rPr>
          <w:tag w:val="goog_rdk_14"/>
          <w:id w:val="-1645186108"/>
          <w:showingPlcHdr/>
        </w:sdtPr>
        <w:sdtContent>
          <w:r w:rsidRPr="00293C9B">
            <w:rPr>
              <w:rFonts w:asciiTheme="minorHAnsi" w:hAnsiTheme="minorHAnsi" w:cstheme="minorHAnsi"/>
              <w:sz w:val="22"/>
              <w:szCs w:val="22"/>
            </w:rPr>
            <w:t xml:space="preserve">     </w:t>
          </w:r>
        </w:sdtContent>
      </w:sdt>
      <w:r w:rsidRPr="00293C9B">
        <w:rPr>
          <w:rFonts w:asciiTheme="minorHAnsi" w:hAnsiTheme="minorHAnsi" w:cstheme="minorHAnsi"/>
          <w:b/>
          <w:bCs/>
          <w:sz w:val="22"/>
          <w:szCs w:val="22"/>
        </w:rPr>
        <w:t>10 plików/próbek</w:t>
      </w:r>
      <w:r w:rsidRPr="00293C9B">
        <w:rPr>
          <w:rFonts w:asciiTheme="minorHAnsi" w:hAnsiTheme="minorHAnsi" w:cstheme="minorHAnsi"/>
          <w:sz w:val="22"/>
          <w:szCs w:val="22"/>
        </w:rPr>
        <w:t xml:space="preserve"> w tzw. VM Sandboxing (rozumiana jako realizacja funkcjonalności sandbox polegająca na wykorzystaniu instancji maszyn wirtualnych z określonymi systemami operacyjnymi i zestawem zainstalowanych aplikacji do zdetonowania/uruchomienia, a następnie analizy podejrzanego pliku pod kątem jego potencjalnie negatywnego wpływu na komputery klienckie lub serwery);</w:t>
      </w:r>
    </w:p>
    <w:p w14:paraId="412A6964" w14:textId="77777777" w:rsidR="002F4F56" w:rsidRPr="00293C9B" w:rsidRDefault="002F4F56" w:rsidP="00293C9B">
      <w:pPr>
        <w:numPr>
          <w:ilvl w:val="1"/>
          <w:numId w:val="31"/>
        </w:numPr>
        <w:suppressAutoHyphens/>
        <w:spacing w:line="24" w:lineRule="atLeast"/>
        <w:ind w:left="851"/>
        <w:jc w:val="both"/>
        <w:textDirection w:val="btLr"/>
        <w:textAlignment w:val="top"/>
        <w:outlineLvl w:val="0"/>
        <w:rPr>
          <w:rFonts w:asciiTheme="minorHAnsi" w:eastAsia="Helvetica Neue Light" w:hAnsiTheme="minorHAnsi" w:cstheme="minorHAnsi"/>
          <w:sz w:val="22"/>
          <w:szCs w:val="22"/>
        </w:rPr>
      </w:pPr>
      <w:r w:rsidRPr="00293C9B">
        <w:rPr>
          <w:rFonts w:asciiTheme="minorHAnsi" w:eastAsia="Helvetica Neue Light" w:hAnsiTheme="minorHAnsi" w:cstheme="minorHAnsi"/>
          <w:sz w:val="22"/>
          <w:szCs w:val="22"/>
        </w:rPr>
        <w:t xml:space="preserve">jednoczesna analiza </w:t>
      </w:r>
      <w:r w:rsidRPr="00293C9B">
        <w:rPr>
          <w:rFonts w:asciiTheme="minorHAnsi" w:eastAsia="Helvetica Neue Light" w:hAnsiTheme="minorHAnsi" w:cstheme="minorHAnsi"/>
          <w:b/>
          <w:bCs/>
          <w:sz w:val="22"/>
          <w:szCs w:val="22"/>
        </w:rPr>
        <w:t>10 próbek/plików</w:t>
      </w:r>
      <w:r w:rsidRPr="00293C9B">
        <w:rPr>
          <w:rFonts w:asciiTheme="minorHAnsi" w:eastAsia="Helvetica Neue Light" w:hAnsiTheme="minorHAnsi" w:cstheme="minorHAnsi"/>
          <w:sz w:val="22"/>
          <w:szCs w:val="22"/>
        </w:rPr>
        <w:t xml:space="preserve"> musi być zapewniona bez względu na to czy pliki te będą wysyłane automatycznie przez firewall czy manualnie przez administratora czy też będzie to mieszana grupa plików pochodząca zarówno bezpośrednio z firewalla, jak też od administratorów.</w:t>
      </w:r>
    </w:p>
    <w:p w14:paraId="1319FAB8" w14:textId="77777777" w:rsidR="002F4F56" w:rsidRPr="00293C9B" w:rsidRDefault="002F4F56" w:rsidP="00293C9B">
      <w:pPr>
        <w:numPr>
          <w:ilvl w:val="0"/>
          <w:numId w:val="31"/>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Podstawowa ochrona DNS co najmniej w zakresie:</w:t>
      </w:r>
    </w:p>
    <w:p w14:paraId="66B43311" w14:textId="77777777" w:rsidR="002F4F56" w:rsidRPr="00293C9B" w:rsidRDefault="002F4F56" w:rsidP="00293C9B">
      <w:pPr>
        <w:numPr>
          <w:ilvl w:val="1"/>
          <w:numId w:val="31"/>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lastRenderedPageBreak/>
        <w:t xml:space="preserve">wykrywanie zapytań do domen złośliwych. </w:t>
      </w:r>
      <w:r w:rsidRPr="00293C9B">
        <w:rPr>
          <w:rFonts w:asciiTheme="minorHAnsi" w:hAnsiTheme="minorHAnsi" w:cstheme="minorHAnsi"/>
          <w:sz w:val="22"/>
          <w:szCs w:val="22"/>
          <w:u w:color="FF0000"/>
        </w:rPr>
        <w:t>Baza domen musi mieć co najmniej 10 milionów wpisów;</w:t>
      </w:r>
    </w:p>
    <w:p w14:paraId="2A18054B" w14:textId="77777777" w:rsidR="002F4F56" w:rsidRPr="00293C9B" w:rsidRDefault="002F4F56" w:rsidP="00293C9B">
      <w:pPr>
        <w:numPr>
          <w:ilvl w:val="1"/>
          <w:numId w:val="31"/>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możliwość skonfigurowania fałszowania odpowiedzi na zapytania DNS zaklasyfikowane jako niebezpieczne (tzw. DNS sinkholing).</w:t>
      </w:r>
    </w:p>
    <w:p w14:paraId="768FDA38" w14:textId="77777777" w:rsidR="002F4F56" w:rsidRPr="00293C9B" w:rsidRDefault="002F4F56" w:rsidP="00293C9B">
      <w:pPr>
        <w:spacing w:line="24" w:lineRule="atLeast"/>
        <w:ind w:left="851" w:hanging="360"/>
        <w:jc w:val="both"/>
        <w:rPr>
          <w:rFonts w:asciiTheme="minorHAnsi" w:hAnsiTheme="minorHAnsi" w:cstheme="minorHAnsi"/>
          <w:b/>
          <w:bCs/>
          <w:sz w:val="22"/>
          <w:szCs w:val="22"/>
        </w:rPr>
      </w:pPr>
    </w:p>
    <w:p w14:paraId="07B39D98"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Deszyfracja ruchu</w:t>
      </w:r>
    </w:p>
    <w:p w14:paraId="10B17E74" w14:textId="77777777" w:rsidR="002F4F56" w:rsidRPr="00293C9B" w:rsidRDefault="002F4F56" w:rsidP="00293C9B">
      <w:pPr>
        <w:spacing w:line="24" w:lineRule="atLeast"/>
        <w:jc w:val="both"/>
        <w:rPr>
          <w:rFonts w:asciiTheme="minorHAnsi" w:hAnsiTheme="minorHAnsi" w:cstheme="minorHAnsi"/>
          <w:sz w:val="22"/>
          <w:szCs w:val="22"/>
        </w:rPr>
      </w:pPr>
    </w:p>
    <w:p w14:paraId="044CDE65" w14:textId="77777777" w:rsidR="002F4F56" w:rsidRPr="00293C9B" w:rsidRDefault="002F4F56" w:rsidP="00293C9B">
      <w:pPr>
        <w:pStyle w:val="Akapitzlist"/>
        <w:numPr>
          <w:ilvl w:val="0"/>
          <w:numId w:val="32"/>
        </w:numPr>
        <w:spacing w:after="0" w:line="24" w:lineRule="atLeast"/>
        <w:contextualSpacing w:val="0"/>
        <w:jc w:val="both"/>
        <w:rPr>
          <w:rFonts w:asciiTheme="minorHAnsi" w:eastAsia="Times New Roman" w:hAnsiTheme="minorHAnsi" w:cstheme="minorHAnsi"/>
        </w:rPr>
      </w:pPr>
      <w:r w:rsidRPr="00293C9B">
        <w:rPr>
          <w:rFonts w:asciiTheme="minorHAnsi" w:eastAsia="Times New Roman" w:hAnsiTheme="minorHAnsi" w:cstheme="minorHAnsi"/>
        </w:rPr>
        <w:t>Rozwiązanie musi posiadać funkcjonalność deszyfracji wychodzących połączeń SSL/TLS na wszystkich portach, wskazanych w polityce deszyfracji oraz deszyfracji wychodzących połączeń typu STARTTLS (Wymagane wsparcie co najmniej dla TLSv1.1, TLSv1.2 i TLSv1.3).</w:t>
      </w:r>
    </w:p>
    <w:p w14:paraId="5C828D30" w14:textId="77777777" w:rsidR="002F4F56" w:rsidRPr="00293C9B" w:rsidRDefault="002F4F56" w:rsidP="00293C9B">
      <w:pPr>
        <w:spacing w:line="24" w:lineRule="atLeast"/>
        <w:jc w:val="both"/>
        <w:rPr>
          <w:rFonts w:asciiTheme="minorHAnsi" w:hAnsiTheme="minorHAnsi" w:cstheme="minorHAnsi"/>
          <w:b/>
          <w:bCs/>
          <w:sz w:val="22"/>
          <w:szCs w:val="22"/>
        </w:rPr>
      </w:pPr>
    </w:p>
    <w:p w14:paraId="176F4D58"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Obsługa VPN oraz funkcji sieciowych</w:t>
      </w:r>
    </w:p>
    <w:p w14:paraId="23F6F9D2" w14:textId="77777777" w:rsidR="002F4F56" w:rsidRPr="00293C9B" w:rsidRDefault="002F4F56" w:rsidP="00293C9B">
      <w:pPr>
        <w:spacing w:line="24" w:lineRule="atLeast"/>
        <w:jc w:val="both"/>
        <w:rPr>
          <w:rFonts w:asciiTheme="minorHAnsi" w:hAnsiTheme="minorHAnsi" w:cstheme="minorHAnsi"/>
          <w:sz w:val="22"/>
          <w:szCs w:val="22"/>
        </w:rPr>
      </w:pPr>
    </w:p>
    <w:p w14:paraId="54DAA064" w14:textId="77777777" w:rsidR="002F4F56" w:rsidRPr="00293C9B" w:rsidRDefault="002F4F56" w:rsidP="00293C9B">
      <w:pPr>
        <w:numPr>
          <w:ilvl w:val="0"/>
          <w:numId w:val="33"/>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Zestawianie tuneli VPN w oparciu o standardy IPSec i IKE w konfiguracji site-to-site. </w:t>
      </w:r>
    </w:p>
    <w:p w14:paraId="6247F185" w14:textId="77777777" w:rsidR="002F4F56" w:rsidRPr="00293C9B" w:rsidRDefault="002F4F56" w:rsidP="00293C9B">
      <w:pPr>
        <w:numPr>
          <w:ilvl w:val="0"/>
          <w:numId w:val="33"/>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Zestawianie tuneli SSL VPN w konfiguracji remote-access-VPN. </w:t>
      </w:r>
    </w:p>
    <w:p w14:paraId="7D09694F"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Wymagane jest zestawienie tuneli z wykorzystaniem klienta VPN dostarczanego przez producenta urządzenia NGFW- obsługa </w:t>
      </w:r>
      <w:r w:rsidRPr="00293C9B">
        <w:rPr>
          <w:rFonts w:asciiTheme="minorHAnsi" w:hAnsiTheme="minorHAnsi" w:cstheme="minorHAnsi"/>
          <w:b/>
          <w:bCs/>
          <w:sz w:val="22"/>
          <w:szCs w:val="22"/>
        </w:rPr>
        <w:t>co najmniej 1000 tuneli/użytkowników</w:t>
      </w:r>
      <w:r w:rsidRPr="00293C9B">
        <w:rPr>
          <w:rFonts w:asciiTheme="minorHAnsi" w:hAnsiTheme="minorHAnsi" w:cstheme="minorHAnsi"/>
          <w:sz w:val="22"/>
          <w:szCs w:val="22"/>
        </w:rPr>
        <w:t xml:space="preserve">. </w:t>
      </w:r>
    </w:p>
    <w:p w14:paraId="6D19EE69"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Oprogramowanie klienta VPN musi być dostępne co najmniej dla Windows i MacOS </w:t>
      </w:r>
    </w:p>
    <w:p w14:paraId="16DC35F2"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Oprogramowanie klienta VPN musi być objęte wsparciem producenta w okresie zgodnym z długością wsparcia firewalla.</w:t>
      </w:r>
    </w:p>
    <w:p w14:paraId="190E4BE0" w14:textId="77777777" w:rsidR="002F4F56" w:rsidRPr="00293C9B" w:rsidRDefault="002F4F56" w:rsidP="00293C9B">
      <w:pPr>
        <w:numPr>
          <w:ilvl w:val="1"/>
          <w:numId w:val="33"/>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Jeżeli oprogramowanie klienta jest dodatkowo licencjonowane przez producenta wówczas należy przewidzieć je dla </w:t>
      </w:r>
      <w:r w:rsidRPr="00293C9B">
        <w:rPr>
          <w:rFonts w:asciiTheme="minorHAnsi" w:hAnsiTheme="minorHAnsi" w:cstheme="minorHAnsi"/>
          <w:b/>
          <w:bCs/>
          <w:sz w:val="22"/>
          <w:szCs w:val="22"/>
        </w:rPr>
        <w:t>3000 użytkowników/urządzeń</w:t>
      </w:r>
      <w:r w:rsidRPr="00293C9B">
        <w:rPr>
          <w:rFonts w:asciiTheme="minorHAnsi" w:hAnsiTheme="minorHAnsi" w:cstheme="minorHAnsi"/>
          <w:sz w:val="22"/>
          <w:szCs w:val="22"/>
        </w:rPr>
        <w:t xml:space="preserve"> oraz zapewnić </w:t>
      </w:r>
      <w:proofErr w:type="gramStart"/>
      <w:r w:rsidRPr="00293C9B">
        <w:rPr>
          <w:rFonts w:asciiTheme="minorHAnsi" w:hAnsiTheme="minorHAnsi" w:cstheme="minorHAnsi"/>
          <w:sz w:val="22"/>
          <w:szCs w:val="22"/>
        </w:rPr>
        <w:t>możliwość  licencyjnej</w:t>
      </w:r>
      <w:proofErr w:type="gramEnd"/>
      <w:r w:rsidRPr="00293C9B">
        <w:rPr>
          <w:rFonts w:asciiTheme="minorHAnsi" w:hAnsiTheme="minorHAnsi" w:cstheme="minorHAnsi"/>
          <w:sz w:val="22"/>
          <w:szCs w:val="22"/>
        </w:rPr>
        <w:t xml:space="preserve"> rozbudowy </w:t>
      </w:r>
      <w:r w:rsidRPr="00293C9B">
        <w:rPr>
          <w:rFonts w:asciiTheme="minorHAnsi" w:hAnsiTheme="minorHAnsi" w:cstheme="minorHAnsi"/>
          <w:b/>
          <w:bCs/>
          <w:sz w:val="22"/>
          <w:szCs w:val="22"/>
        </w:rPr>
        <w:t>do 5000</w:t>
      </w:r>
      <w:r w:rsidRPr="00293C9B">
        <w:rPr>
          <w:rFonts w:asciiTheme="minorHAnsi" w:hAnsiTheme="minorHAnsi" w:cstheme="minorHAnsi"/>
          <w:sz w:val="22"/>
          <w:szCs w:val="22"/>
        </w:rPr>
        <w:t>.</w:t>
      </w:r>
    </w:p>
    <w:p w14:paraId="54818460"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Obsługa protokołów routingu: OSPFv2 i OSPFv3, BGP4;</w:t>
      </w:r>
    </w:p>
    <w:p w14:paraId="07C032F7"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Obsługa 4094 VLAN zgodnych z 802.1q. </w:t>
      </w:r>
    </w:p>
    <w:p w14:paraId="736FEA45"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Obsługa tworzenia subinterfejsów na interfejsach pracujących w L2 i L3.</w:t>
      </w:r>
    </w:p>
    <w:p w14:paraId="277B5047"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Obsługa stref bezpieczeństwa symbolizujących np. WAN, LAN, DMZ, interfejsy fizyczne, subinterfejsy L2 i L3 – jako nazwane strefy, na bazie których można budować polityki bezpieczeństwa przy regulacji ruchu pomiędzy strefami.</w:t>
      </w:r>
    </w:p>
    <w:p w14:paraId="40C38D55"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Translacja adresów IP (NAT) zarówno statyczna jak i dynamiczna. Reguły dotyczące NAT muszą być odrębne od reguł definiujących polityki bezpieczeństwa tak, aby reguły dotyczące translacji nie powodowały w żaden sposób zależności od konfiguracji tych polityk.</w:t>
      </w:r>
    </w:p>
    <w:p w14:paraId="2911D20B"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Zarządzanie pasmem sieci (QoS) w zakresie ustawiania dla dowolnych aplikacji priorytetu, pasma maksymalnego i gwarantowanego. Przydzielanie takiej samej klasy QoS dla ruchu wychodzącego i przychodzącego. </w:t>
      </w:r>
    </w:p>
    <w:p w14:paraId="2BB3B382" w14:textId="77777777" w:rsidR="002F4F56" w:rsidRPr="00293C9B" w:rsidRDefault="002F4F56" w:rsidP="00293C9B">
      <w:pPr>
        <w:numPr>
          <w:ilvl w:val="0"/>
          <w:numId w:val="33"/>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Inspekcja szyfrowanej komunikacji SSH (Secure Shell) w celu wykrywania tunelowania innych protokołów w ramach usługi SSH). </w:t>
      </w:r>
    </w:p>
    <w:p w14:paraId="48B3C07B" w14:textId="77777777" w:rsidR="002F4F56" w:rsidRPr="00293C9B" w:rsidRDefault="002F4F56" w:rsidP="00293C9B">
      <w:pPr>
        <w:spacing w:line="24" w:lineRule="atLeast"/>
        <w:jc w:val="both"/>
        <w:rPr>
          <w:rFonts w:asciiTheme="minorHAnsi" w:hAnsiTheme="minorHAnsi" w:cstheme="minorHAnsi"/>
          <w:i/>
          <w:iCs/>
          <w:sz w:val="22"/>
          <w:szCs w:val="22"/>
        </w:rPr>
      </w:pPr>
    </w:p>
    <w:p w14:paraId="32EC005B"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Uwierzytelnienie i ustalanie tożsamości użytkowników</w:t>
      </w:r>
    </w:p>
    <w:p w14:paraId="22D67C73" w14:textId="77777777" w:rsidR="002F4F56" w:rsidRPr="00293C9B" w:rsidRDefault="002F4F56" w:rsidP="00293C9B">
      <w:pPr>
        <w:spacing w:line="24" w:lineRule="atLeast"/>
        <w:jc w:val="both"/>
        <w:rPr>
          <w:rFonts w:asciiTheme="minorHAnsi" w:hAnsiTheme="minorHAnsi" w:cstheme="minorHAnsi"/>
          <w:i/>
          <w:iCs/>
          <w:sz w:val="22"/>
          <w:szCs w:val="22"/>
        </w:rPr>
      </w:pPr>
    </w:p>
    <w:p w14:paraId="19711601" w14:textId="77777777" w:rsidR="002F4F56" w:rsidRPr="00293C9B" w:rsidRDefault="002F4F56" w:rsidP="00293C9B">
      <w:pPr>
        <w:numPr>
          <w:ilvl w:val="0"/>
          <w:numId w:val="34"/>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Transparentne ustalenie tożsamości w oparciu o:</w:t>
      </w:r>
    </w:p>
    <w:p w14:paraId="2265F01E"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integrację z kontrolerem domeny Active Directory;</w:t>
      </w:r>
    </w:p>
    <w:p w14:paraId="3BB97AE0"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z serwerami LDAP;</w:t>
      </w:r>
    </w:p>
    <w:p w14:paraId="55ABC442"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z serwerami terminalowymi;</w:t>
      </w:r>
    </w:p>
    <w:p w14:paraId="3994EC7F"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integracji bazującej na informacji z logów SYSLOG lub RADIUS pozwalającej na uwierzytelnienie użytkowników korzystających z systemów UNIX;</w:t>
      </w:r>
    </w:p>
    <w:p w14:paraId="214199C8" w14:textId="77777777" w:rsidR="002F4F56" w:rsidRPr="00293C9B" w:rsidRDefault="002F4F56" w:rsidP="00293C9B">
      <w:pPr>
        <w:numPr>
          <w:ilvl w:val="0"/>
          <w:numId w:val="34"/>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Firewall musi posiadać możliwość wymuszenia w procesie uwierzytelniania użytkownika podania przez niego drugiego czynnika uwierzytelniającego (tzw. MFA) w celu ochrony kluczowych systemów przed kradzieżą poświadczeń. </w:t>
      </w:r>
    </w:p>
    <w:p w14:paraId="6CB558BB" w14:textId="77777777" w:rsidR="002F4F56" w:rsidRPr="00293C9B" w:rsidRDefault="002F4F56" w:rsidP="00293C9B">
      <w:pPr>
        <w:numPr>
          <w:ilvl w:val="0"/>
          <w:numId w:val="34"/>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Uwierzytelnianie administratorów NGFW za pomocą:</w:t>
      </w:r>
    </w:p>
    <w:p w14:paraId="0419FE4A"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bazy lokalnej;</w:t>
      </w:r>
    </w:p>
    <w:p w14:paraId="743D1633"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lastRenderedPageBreak/>
        <w:t>zewnętrznej usługi katalogowej dostępnej po LDAPS;</w:t>
      </w:r>
    </w:p>
    <w:p w14:paraId="6689A101" w14:textId="77777777" w:rsidR="002F4F56" w:rsidRPr="00293C9B" w:rsidRDefault="002F4F56" w:rsidP="00293C9B">
      <w:pPr>
        <w:numPr>
          <w:ilvl w:val="1"/>
          <w:numId w:val="34"/>
        </w:numPr>
        <w:spacing w:line="24" w:lineRule="atLeast"/>
        <w:ind w:left="993"/>
        <w:jc w:val="both"/>
        <w:rPr>
          <w:rFonts w:asciiTheme="minorHAnsi" w:hAnsiTheme="minorHAnsi" w:cstheme="minorHAnsi"/>
          <w:sz w:val="22"/>
          <w:szCs w:val="22"/>
        </w:rPr>
      </w:pPr>
      <w:r w:rsidRPr="00293C9B">
        <w:rPr>
          <w:rFonts w:asciiTheme="minorHAnsi" w:hAnsiTheme="minorHAnsi" w:cstheme="minorHAnsi"/>
          <w:sz w:val="22"/>
          <w:szCs w:val="22"/>
        </w:rPr>
        <w:t>RADIUS lub TACACS+.</w:t>
      </w:r>
    </w:p>
    <w:p w14:paraId="48F29494" w14:textId="77777777" w:rsidR="002F4F56" w:rsidRPr="00293C9B" w:rsidRDefault="002F4F56" w:rsidP="00293C9B">
      <w:pPr>
        <w:spacing w:line="24" w:lineRule="atLeast"/>
        <w:jc w:val="both"/>
        <w:rPr>
          <w:rFonts w:asciiTheme="minorHAnsi" w:hAnsiTheme="minorHAnsi" w:cstheme="minorHAnsi"/>
          <w:b/>
          <w:bCs/>
          <w:sz w:val="22"/>
          <w:szCs w:val="22"/>
        </w:rPr>
      </w:pPr>
    </w:p>
    <w:p w14:paraId="1D3ADD37" w14:textId="77777777" w:rsidR="002F4F56" w:rsidRPr="00293C9B" w:rsidRDefault="002F4F56" w:rsidP="00293C9B">
      <w:pP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Zarządzenie urządzeniami NGFW</w:t>
      </w:r>
    </w:p>
    <w:p w14:paraId="5B980CE1"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Monitorowanie oraz podstawowe zarządzanie muszą być możliwe z linii poleceń (CLI) oraz przez Interfejs graficzny (GUI) realizowany przez przeglądarkę lub dedykowanego klienta instalowanego na stacji roboczej administratora – bez konieczności korzystania z centralnych narzędzi zarządzania.</w:t>
      </w:r>
    </w:p>
    <w:p w14:paraId="7332ED46"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Eksportowanie logów do zewnętrznych serwerów zgodnych z protokołem Syslog. </w:t>
      </w:r>
    </w:p>
    <w:p w14:paraId="03C598F5" w14:textId="77777777" w:rsidR="002F4F56" w:rsidRPr="00293C9B" w:rsidRDefault="002F4F56" w:rsidP="00293C9B">
      <w:pPr>
        <w:numPr>
          <w:ilvl w:val="0"/>
          <w:numId w:val="35"/>
        </w:numPr>
        <w:spacing w:line="24" w:lineRule="atLeast"/>
        <w:ind w:left="426"/>
        <w:jc w:val="both"/>
        <w:rPr>
          <w:rFonts w:asciiTheme="minorHAnsi" w:hAnsiTheme="minorHAnsi" w:cstheme="minorHAnsi"/>
          <w:sz w:val="22"/>
          <w:szCs w:val="22"/>
        </w:rPr>
      </w:pPr>
      <w:r w:rsidRPr="00293C9B">
        <w:rPr>
          <w:rFonts w:asciiTheme="minorHAnsi" w:hAnsiTheme="minorHAnsi" w:cstheme="minorHAnsi"/>
          <w:sz w:val="22"/>
          <w:szCs w:val="22"/>
        </w:rPr>
        <w:t xml:space="preserve">Praca na NGFW odbywa się na konfiguracji kandydackiej, a nie aktywnej. Zmiany w całości konfiguracji aktywnej odbywają się poprzez zatwierdzanie zmian (ang. Commit). Przed zatwierdzaniem zmian musi być możliwość przejrzenia zmian, które zostały wykonane na konfiguracji kandydackiej. Musi istnieć możliwość porównania zmian (m.in. polityk, konfiguracji interfejsów, routingu itp.), </w:t>
      </w:r>
      <w:proofErr w:type="gramStart"/>
      <w:r w:rsidRPr="00293C9B">
        <w:rPr>
          <w:rFonts w:asciiTheme="minorHAnsi" w:hAnsiTheme="minorHAnsi" w:cstheme="minorHAnsi"/>
          <w:sz w:val="22"/>
          <w:szCs w:val="22"/>
        </w:rPr>
        <w:t>ze</w:t>
      </w:r>
      <w:proofErr w:type="gramEnd"/>
      <w:r w:rsidRPr="00293C9B">
        <w:rPr>
          <w:rFonts w:asciiTheme="minorHAnsi" w:hAnsiTheme="minorHAnsi" w:cstheme="minorHAnsi"/>
          <w:sz w:val="22"/>
          <w:szCs w:val="22"/>
        </w:rPr>
        <w:t xml:space="preserve"> wcześniejszymi wersjami konfiguracji. Funkcja ta musi być dostępna z CLI i z GUI.</w:t>
      </w:r>
    </w:p>
    <w:p w14:paraId="4E89B2AA" w14:textId="77777777" w:rsidR="002F4F56" w:rsidRPr="00293C9B" w:rsidRDefault="002F4F56" w:rsidP="00293C9B">
      <w:pPr>
        <w:spacing w:line="24" w:lineRule="atLeast"/>
        <w:jc w:val="both"/>
        <w:rPr>
          <w:rFonts w:asciiTheme="minorHAnsi" w:hAnsiTheme="minorHAnsi" w:cstheme="minorHAnsi"/>
          <w:sz w:val="22"/>
          <w:szCs w:val="22"/>
        </w:rPr>
      </w:pPr>
    </w:p>
    <w:p w14:paraId="1397FE6D" w14:textId="77777777" w:rsidR="002F4F56" w:rsidRPr="00293C9B" w:rsidRDefault="002F4F56" w:rsidP="00293C9B">
      <w:pPr>
        <w:numPr>
          <w:ilvl w:val="0"/>
          <w:numId w:val="16"/>
        </w:numPr>
        <w:spacing w:line="24" w:lineRule="atLeast"/>
        <w:ind w:left="426"/>
        <w:jc w:val="both"/>
        <w:rPr>
          <w:rFonts w:asciiTheme="minorHAnsi" w:hAnsiTheme="minorHAnsi" w:cstheme="minorHAnsi"/>
          <w:b/>
          <w:bCs/>
          <w:sz w:val="22"/>
          <w:szCs w:val="22"/>
        </w:rPr>
      </w:pPr>
      <w:r w:rsidRPr="00293C9B">
        <w:rPr>
          <w:rFonts w:asciiTheme="minorHAnsi" w:hAnsiTheme="minorHAnsi" w:cstheme="minorHAnsi"/>
          <w:b/>
          <w:bCs/>
          <w:sz w:val="22"/>
          <w:szCs w:val="22"/>
        </w:rPr>
        <w:t>Interpretacja parametrów wydajnościowych NGFW</w:t>
      </w:r>
    </w:p>
    <w:p w14:paraId="490846D5" w14:textId="77777777" w:rsidR="002F4F56" w:rsidRPr="00293C9B" w:rsidRDefault="002F4F56" w:rsidP="00293C9B">
      <w:pPr>
        <w:spacing w:line="24" w:lineRule="atLeast"/>
        <w:jc w:val="both"/>
        <w:rPr>
          <w:rFonts w:asciiTheme="minorHAnsi" w:hAnsiTheme="minorHAnsi" w:cstheme="minorHAnsi"/>
          <w:sz w:val="22"/>
          <w:szCs w:val="22"/>
        </w:rPr>
      </w:pPr>
    </w:p>
    <w:p w14:paraId="5D922BCC"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Interpretacja parametrów wydajnościowych dla Firewall/kontroli aplikacji - rozwiązanie pozwoli na:</w:t>
      </w:r>
    </w:p>
    <w:p w14:paraId="4BA729D2"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wykrycie aplikacji,</w:t>
      </w:r>
    </w:p>
    <w:p w14:paraId="66FC28AA"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przydzielenie do niej polityki bezpieczeństwa w tym przypisanie uprawnień użytkownikom do korzystania z określonych aplikacji sieciowych.</w:t>
      </w:r>
    </w:p>
    <w:p w14:paraId="72B0F79E" w14:textId="77777777" w:rsidR="002F4F56" w:rsidRPr="00293C9B" w:rsidRDefault="002F4F56" w:rsidP="00293C9B">
      <w:p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 </w:t>
      </w:r>
    </w:p>
    <w:p w14:paraId="0A185DE4"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Interpretacja parametrów wydajnościowych dla Firewall/kontroli aplikacji/IPS/Antywirus/Antymalware - rozwiązanie pozwoli na: </w:t>
      </w:r>
    </w:p>
    <w:p w14:paraId="63D6A01C" w14:textId="77777777" w:rsidR="002F4F56" w:rsidRPr="00293C9B" w:rsidRDefault="002F4F56" w:rsidP="00293C9B">
      <w:pPr>
        <w:spacing w:line="24" w:lineRule="atLeast"/>
        <w:ind w:left="284"/>
        <w:jc w:val="both"/>
        <w:rPr>
          <w:rFonts w:asciiTheme="minorHAnsi" w:hAnsiTheme="minorHAnsi" w:cstheme="minorHAnsi"/>
          <w:sz w:val="22"/>
          <w:szCs w:val="22"/>
        </w:rPr>
      </w:pPr>
    </w:p>
    <w:p w14:paraId="3BC9396C"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 xml:space="preserve">wykrycie aplikacji, </w:t>
      </w:r>
    </w:p>
    <w:p w14:paraId="31ACC99D"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przydzielenie do niej polityki bezpieczeństwa obejmującej przypisanie uprawnień użytkownikom do korzystania z określonych aplikacji sieciowych,</w:t>
      </w:r>
    </w:p>
    <w:p w14:paraId="4CBF5CA8"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inspekcje IPS całego ruchu,</w:t>
      </w:r>
    </w:p>
    <w:p w14:paraId="645283F4"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inspekcję antywirusową całego ruchu,</w:t>
      </w:r>
    </w:p>
    <w:p w14:paraId="4C9D0932"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inspekcję antymalware/AntySpyware całego ruchu,</w:t>
      </w:r>
    </w:p>
    <w:p w14:paraId="3F76B009"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przesyłanie plików do sandboxa lokalnego i/lub chmurowego,</w:t>
      </w:r>
    </w:p>
    <w:p w14:paraId="474C2030"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przechwytywanie i blokowanie plików określonego typu.</w:t>
      </w:r>
    </w:p>
    <w:p w14:paraId="4E7B9FE3" w14:textId="77777777" w:rsidR="002F4F56" w:rsidRPr="00293C9B" w:rsidRDefault="002F4F56" w:rsidP="00293C9B">
      <w:pPr>
        <w:numPr>
          <w:ilvl w:val="1"/>
          <w:numId w:val="20"/>
        </w:numPr>
        <w:spacing w:line="24" w:lineRule="atLeast"/>
        <w:ind w:left="851"/>
        <w:jc w:val="both"/>
        <w:rPr>
          <w:rFonts w:asciiTheme="minorHAnsi" w:hAnsiTheme="minorHAnsi" w:cstheme="minorHAnsi"/>
          <w:sz w:val="22"/>
          <w:szCs w:val="22"/>
        </w:rPr>
      </w:pPr>
      <w:r w:rsidRPr="00293C9B">
        <w:rPr>
          <w:rFonts w:asciiTheme="minorHAnsi" w:hAnsiTheme="minorHAnsi" w:cstheme="minorHAnsi"/>
          <w:sz w:val="22"/>
          <w:szCs w:val="22"/>
        </w:rPr>
        <w:t>Logowanie zdarzeń</w:t>
      </w:r>
    </w:p>
    <w:p w14:paraId="77B1A81F" w14:textId="77777777" w:rsidR="002F4F56" w:rsidRPr="00293C9B" w:rsidRDefault="002F4F56" w:rsidP="00293C9B">
      <w:pPr>
        <w:spacing w:line="24" w:lineRule="atLeast"/>
        <w:ind w:left="1440"/>
        <w:jc w:val="both"/>
        <w:rPr>
          <w:rFonts w:asciiTheme="minorHAnsi" w:hAnsiTheme="minorHAnsi" w:cstheme="minorHAnsi"/>
          <w:sz w:val="22"/>
          <w:szCs w:val="22"/>
        </w:rPr>
      </w:pPr>
    </w:p>
    <w:p w14:paraId="758B933C"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Scenariusz ten musi być realizowany z włączonym pełnym zakresem ochrony tj. z włączonymi wszystkimi dostępnymi dla rozwiązania sygnaturami IPS oraz z wszystkimi funkcjami dostępnymi w urządzeniu dla silników antywirus i antyspyware/antymalware. Inspekcjom bezpieczeństwa musi podlegać cały ruch – sprawdzeniu musi podlegać każdy bajt danych przesyłany przez urządzenie. Zamawiający wymaga, aby podana została przepustowość urządzenia dla pełnego zakresu ochrony oferowanego przez urządzenie – jeżeli urządzenie pozwala na pracę w wielu trybach to należy podać przepustowość dla trybu z największą liczbą dostępnych inspekcji dla silników IPS, antywirus, antymalware/antyspyware.</w:t>
      </w:r>
    </w:p>
    <w:p w14:paraId="069C6D3F" w14:textId="77777777" w:rsidR="002F4F56" w:rsidRPr="00293C9B" w:rsidRDefault="002F4F56" w:rsidP="00293C9B">
      <w:pPr>
        <w:spacing w:line="24" w:lineRule="atLeast"/>
        <w:jc w:val="both"/>
        <w:rPr>
          <w:rFonts w:asciiTheme="minorHAnsi" w:hAnsiTheme="minorHAnsi" w:cstheme="minorHAnsi"/>
          <w:sz w:val="22"/>
          <w:szCs w:val="22"/>
        </w:rPr>
      </w:pPr>
    </w:p>
    <w:p w14:paraId="3A17B486" w14:textId="77777777" w:rsidR="002F4F56" w:rsidRPr="00293C9B" w:rsidRDefault="002F4F56" w:rsidP="00293C9B">
      <w:pPr>
        <w:numPr>
          <w:ilvl w:val="0"/>
          <w:numId w:val="20"/>
        </w:numP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Charakterystyka ruchu sieciowego dla interpretacji parametrów wydajnościowych.</w:t>
      </w:r>
    </w:p>
    <w:p w14:paraId="3A7539B8" w14:textId="77777777" w:rsidR="002F4F56" w:rsidRPr="00293C9B" w:rsidRDefault="002F4F56" w:rsidP="00293C9B">
      <w:pPr>
        <w:spacing w:line="24" w:lineRule="atLeast"/>
        <w:jc w:val="both"/>
        <w:rPr>
          <w:rFonts w:asciiTheme="minorHAnsi" w:hAnsiTheme="minorHAnsi" w:cstheme="minorHAnsi"/>
          <w:sz w:val="22"/>
          <w:szCs w:val="22"/>
        </w:rPr>
      </w:pPr>
    </w:p>
    <w:p w14:paraId="3E3414CC"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 xml:space="preserve">Wszystkie parametry dotyczące wydajności, pod kątem przepustowości (ang. throughput), wymaganej na oferowanym firewallu zakładają, iż będą to parametry wskazane przez producentów w dokumentacji (lub testach) jako inspekcja http z wielkością sesji 64KB lub mniejszą wartością np. http </w:t>
      </w:r>
      <w:r w:rsidRPr="00293C9B">
        <w:rPr>
          <w:rFonts w:asciiTheme="minorHAnsi" w:hAnsiTheme="minorHAnsi" w:cstheme="minorHAnsi"/>
          <w:sz w:val="22"/>
          <w:szCs w:val="22"/>
        </w:rPr>
        <w:lastRenderedPageBreak/>
        <w:t>44KB, 40KB – zależnie od tego jaki parametr sesji http przyjął producent urządzenia firewall do określenia jego parametrów.</w:t>
      </w:r>
    </w:p>
    <w:p w14:paraId="6F0E9E7D" w14:textId="77777777" w:rsidR="002F4F56" w:rsidRPr="00293C9B" w:rsidRDefault="002F4F56" w:rsidP="00293C9B">
      <w:pPr>
        <w:spacing w:line="24" w:lineRule="atLeast"/>
        <w:jc w:val="both"/>
        <w:rPr>
          <w:rFonts w:asciiTheme="minorHAnsi" w:hAnsiTheme="minorHAnsi" w:cstheme="minorHAnsi"/>
          <w:sz w:val="22"/>
          <w:szCs w:val="22"/>
        </w:rPr>
      </w:pPr>
      <w:r w:rsidRPr="00293C9B">
        <w:rPr>
          <w:rFonts w:asciiTheme="minorHAnsi" w:hAnsiTheme="minorHAnsi" w:cstheme="minorHAnsi"/>
          <w:sz w:val="22"/>
          <w:szCs w:val="22"/>
        </w:rPr>
        <w:t>W przypadku gdy Wykonawca zaproponuje urządzenie, którego wydajność nie będzie wskazana w oficjalnej i publicznie dostępnej dokumentacji wówczas jest on zobowiązany do dodatkowego potwierdzenia spełnienia wymagań wydajnościowych. Zamawiający wymaga, aby potwierdzenie zostało dostarczone w postaci wyników testów przeprowadzonych przez publiczny ośrodek badawczo-rozwojowy w Polsce (np. Instytut Łączności, Poznańskie Centrum Superkomputerowo-Sieciowe, lub inny podobny) z wykorzystaniem dedykowanych testerów ruchu – IXIA lub Spirent lub Agilent.</w:t>
      </w:r>
    </w:p>
    <w:p w14:paraId="1EE30D16" w14:textId="77777777" w:rsidR="002F4F56" w:rsidRPr="00293C9B" w:rsidRDefault="002F4F56" w:rsidP="00293C9B">
      <w:pPr>
        <w:spacing w:line="24" w:lineRule="atLeast"/>
        <w:rPr>
          <w:rFonts w:asciiTheme="minorHAnsi" w:hAnsiTheme="minorHAnsi" w:cstheme="minorHAnsi"/>
          <w:i/>
          <w:iCs/>
          <w:sz w:val="22"/>
          <w:szCs w:val="22"/>
        </w:rPr>
      </w:pPr>
    </w:p>
    <w:p w14:paraId="63C363F8" w14:textId="77777777" w:rsidR="002F4F56" w:rsidRPr="00293C9B" w:rsidRDefault="002F4F56" w:rsidP="00293C9B">
      <w:pPr>
        <w:numPr>
          <w:ilvl w:val="0"/>
          <w:numId w:val="16"/>
        </w:numPr>
        <w:pBdr>
          <w:top w:val="nil"/>
          <w:left w:val="nil"/>
          <w:bottom w:val="nil"/>
          <w:right w:val="nil"/>
          <w:between w:val="nil"/>
        </w:pBdr>
        <w:spacing w:line="24" w:lineRule="atLeast"/>
        <w:jc w:val="both"/>
        <w:rPr>
          <w:rFonts w:asciiTheme="minorHAnsi" w:hAnsiTheme="minorHAnsi" w:cstheme="minorHAnsi"/>
          <w:b/>
          <w:bCs/>
          <w:sz w:val="22"/>
          <w:szCs w:val="22"/>
        </w:rPr>
      </w:pPr>
      <w:r w:rsidRPr="00293C9B">
        <w:rPr>
          <w:rFonts w:asciiTheme="minorHAnsi" w:hAnsiTheme="minorHAnsi" w:cstheme="minorHAnsi"/>
          <w:b/>
          <w:bCs/>
          <w:sz w:val="22"/>
          <w:szCs w:val="22"/>
        </w:rPr>
        <w:t>WYMAGANIA LICENCYJNE</w:t>
      </w:r>
    </w:p>
    <w:p w14:paraId="59DF1DFF" w14:textId="77777777" w:rsidR="002F4F56" w:rsidRPr="00293C9B" w:rsidRDefault="002F4F56" w:rsidP="00293C9B">
      <w:pPr>
        <w:spacing w:line="24" w:lineRule="atLeast"/>
        <w:jc w:val="both"/>
        <w:rPr>
          <w:rFonts w:asciiTheme="minorHAnsi" w:hAnsiTheme="minorHAnsi" w:cstheme="minorHAnsi"/>
          <w:sz w:val="22"/>
          <w:szCs w:val="22"/>
        </w:rPr>
      </w:pPr>
    </w:p>
    <w:p w14:paraId="5F8EB7F8"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Całość rozwiązania będzie pochodziła od jednego producenta. </w:t>
      </w:r>
    </w:p>
    <w:p w14:paraId="01349A5C"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 xml:space="preserve">W przypadku, kiedy jakakolwiek funkcjonalność lub parametr ilościowy wymagają licencji, Zamawiający wymaga ich dostarczenia w celu zapewnienia pełni wymaganych właściwości przez okres </w:t>
      </w:r>
      <w:r w:rsidRPr="00293C9B">
        <w:rPr>
          <w:rFonts w:asciiTheme="minorHAnsi" w:hAnsiTheme="minorHAnsi" w:cstheme="minorHAnsi"/>
          <w:b/>
          <w:bCs/>
          <w:sz w:val="22"/>
          <w:szCs w:val="22"/>
        </w:rPr>
        <w:t>36 miesięcy</w:t>
      </w:r>
      <w:r w:rsidRPr="00293C9B">
        <w:rPr>
          <w:rFonts w:asciiTheme="minorHAnsi" w:hAnsiTheme="minorHAnsi" w:cstheme="minorHAnsi"/>
          <w:sz w:val="22"/>
          <w:szCs w:val="22"/>
        </w:rPr>
        <w:t>.</w:t>
      </w:r>
    </w:p>
    <w:p w14:paraId="5A127929" w14:textId="77777777" w:rsidR="002F4F56" w:rsidRPr="00293C9B" w:rsidRDefault="002F4F56" w:rsidP="00293C9B">
      <w:pPr>
        <w:numPr>
          <w:ilvl w:val="0"/>
          <w:numId w:val="15"/>
        </w:numPr>
        <w:pBdr>
          <w:top w:val="nil"/>
          <w:left w:val="nil"/>
          <w:bottom w:val="nil"/>
          <w:right w:val="nil"/>
          <w:between w:val="nil"/>
        </w:pBdr>
        <w:spacing w:line="24" w:lineRule="atLeast"/>
        <w:ind w:left="284"/>
        <w:jc w:val="both"/>
        <w:rPr>
          <w:rFonts w:asciiTheme="minorHAnsi" w:hAnsiTheme="minorHAnsi" w:cstheme="minorHAnsi"/>
          <w:sz w:val="22"/>
          <w:szCs w:val="22"/>
        </w:rPr>
      </w:pPr>
      <w:r w:rsidRPr="00293C9B">
        <w:rPr>
          <w:rFonts w:asciiTheme="minorHAnsi" w:hAnsiTheme="minorHAnsi" w:cstheme="minorHAnsi"/>
          <w:sz w:val="22"/>
          <w:szCs w:val="22"/>
        </w:rPr>
        <w:t>Dla systemu firewall należy dostarczyć usługi abonamentowe (subskrypcje) obejmujące aktualizacje sygnatur dla następujących funkcji:</w:t>
      </w:r>
    </w:p>
    <w:p w14:paraId="11BF0D83"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bazy aplikacji;</w:t>
      </w:r>
    </w:p>
    <w:p w14:paraId="697623F1"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 sygnatur IPS;</w:t>
      </w:r>
    </w:p>
    <w:p w14:paraId="744DCE15"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Aktualizacje baz sygnatur AV;</w:t>
      </w:r>
    </w:p>
    <w:p w14:paraId="67E7ED4B"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Dostęp do bazy URL zapewniającej informacje o kategoryzacji strony i powiązanym z nią poziomie ryzyka;</w:t>
      </w:r>
    </w:p>
    <w:p w14:paraId="47874537"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Możliwość współpracy z systemem sandbox;</w:t>
      </w:r>
    </w:p>
    <w:p w14:paraId="2B772932" w14:textId="77777777" w:rsidR="002F4F56" w:rsidRP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Aktualizacji baz dla ochrony DNS;</w:t>
      </w:r>
    </w:p>
    <w:p w14:paraId="0DBC963F" w14:textId="6A3BE0E8" w:rsidR="00293C9B" w:rsidRDefault="002F4F56" w:rsidP="00293C9B">
      <w:pPr>
        <w:numPr>
          <w:ilvl w:val="1"/>
          <w:numId w:val="15"/>
        </w:numPr>
        <w:pBdr>
          <w:top w:val="nil"/>
          <w:left w:val="nil"/>
          <w:bottom w:val="nil"/>
          <w:right w:val="nil"/>
          <w:between w:val="nil"/>
        </w:pBdr>
        <w:spacing w:line="24" w:lineRule="atLeast"/>
        <w:ind w:left="709"/>
        <w:jc w:val="both"/>
        <w:rPr>
          <w:rFonts w:asciiTheme="minorHAnsi" w:hAnsiTheme="minorHAnsi" w:cstheme="minorHAnsi"/>
          <w:sz w:val="22"/>
          <w:szCs w:val="22"/>
        </w:rPr>
      </w:pPr>
      <w:r w:rsidRPr="00293C9B">
        <w:rPr>
          <w:rFonts w:asciiTheme="minorHAnsi" w:hAnsiTheme="minorHAnsi" w:cstheme="minorHAnsi"/>
          <w:sz w:val="22"/>
          <w:szCs w:val="22"/>
        </w:rPr>
        <w:t>Realizację sieci VPN w trybie site-to-site i client-to-site (wraz z oprogramowaniem klienta VPN).</w:t>
      </w:r>
    </w:p>
    <w:p w14:paraId="16301460" w14:textId="77777777" w:rsidR="00293C9B" w:rsidRDefault="00293C9B" w:rsidP="00293C9B">
      <w:pPr>
        <w:pBdr>
          <w:top w:val="nil"/>
          <w:left w:val="nil"/>
          <w:bottom w:val="nil"/>
          <w:right w:val="nil"/>
          <w:between w:val="nil"/>
        </w:pBdr>
        <w:spacing w:line="24" w:lineRule="atLeast"/>
        <w:ind w:left="709"/>
        <w:jc w:val="both"/>
        <w:rPr>
          <w:rFonts w:asciiTheme="minorHAnsi" w:hAnsiTheme="minorHAnsi" w:cstheme="minorHAnsi"/>
          <w:sz w:val="22"/>
          <w:szCs w:val="22"/>
        </w:rPr>
      </w:pPr>
    </w:p>
    <w:p w14:paraId="54F8A8B7" w14:textId="10CC090A" w:rsidR="002F4F56" w:rsidRPr="00293C9B" w:rsidRDefault="002F4F56" w:rsidP="00293C9B">
      <w:pPr>
        <w:pStyle w:val="Akapitzlist"/>
        <w:numPr>
          <w:ilvl w:val="0"/>
          <w:numId w:val="16"/>
        </w:numPr>
        <w:pBdr>
          <w:top w:val="nil"/>
          <w:left w:val="nil"/>
          <w:bottom w:val="nil"/>
          <w:right w:val="nil"/>
          <w:between w:val="nil"/>
        </w:pBdr>
        <w:spacing w:after="0" w:line="24" w:lineRule="atLeast"/>
        <w:contextualSpacing w:val="0"/>
        <w:jc w:val="both"/>
        <w:rPr>
          <w:rFonts w:asciiTheme="minorHAnsi" w:hAnsiTheme="minorHAnsi" w:cstheme="minorHAnsi"/>
        </w:rPr>
      </w:pPr>
      <w:r w:rsidRPr="00293C9B">
        <w:rPr>
          <w:rFonts w:cstheme="minorHAnsi"/>
          <w:b/>
        </w:rPr>
        <w:t>DODATKOWE WYMAGANIA</w:t>
      </w:r>
    </w:p>
    <w:p w14:paraId="626D54FD"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Wykonawca zobowiązany jest w szczególności dostarczyć, zainstalować, wdrożyć i skonfigurować urządzenia, określone w Opisie Przedmiotu Zamówienia i ofercie Wykonawcy.</w:t>
      </w:r>
    </w:p>
    <w:p w14:paraId="176245F4"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Wraz z urządzeniami, Wykonawca dostarczy Zamawiającemu wszelką dokumentację urządzeń dostarczaną przez producenta urządzenia, w szczególności instrukcje obsługi.</w:t>
      </w:r>
    </w:p>
    <w:p w14:paraId="30226587"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 xml:space="preserve">Dostarczone urządzenia i inne </w:t>
      </w:r>
      <w:proofErr w:type="gramStart"/>
      <w:r w:rsidRPr="00293C9B">
        <w:rPr>
          <w:rFonts w:cstheme="minorHAnsi"/>
        </w:rPr>
        <w:t>części</w:t>
      </w:r>
      <w:proofErr w:type="gramEnd"/>
      <w:r w:rsidRPr="00293C9B">
        <w:rPr>
          <w:rFonts w:cstheme="minorHAnsi"/>
        </w:rPr>
        <w:t xml:space="preserve"> które Zamawiający dostarcza Wykonawcy muszą posiadać stosowne certyfikaty, oraz spełniać wszelkie wymogi i normy zastrzeżone przez obowiązujące w Polsce przepisy.</w:t>
      </w:r>
    </w:p>
    <w:p w14:paraId="329DB540"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Do czasu przetestowania urządzeń i sieci i podpisania protokołu odbioru końcowego, Wykonawca ponosi ryzyko ich niesprawności lub wystąpienia innych wad, chyba że niesprawność lub wada została wyrządzona z winy Zamawiającego.</w:t>
      </w:r>
    </w:p>
    <w:p w14:paraId="673F1D7B"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Wykonawca dostarczy dokument, z którego będą wynikały wszystkie parametry oferowanego urządzenia wskazane w Opisie przedmiotu zamówienia: karta katalogowa urządzenia lub oświadczenie producenta lub oświadczenie autoryzowanego przedstawiciela producenta.</w:t>
      </w:r>
    </w:p>
    <w:p w14:paraId="7B5AF197"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Wymagane jest oświadczenie Wykonawcy gwarantujące, że sprzęt dostarczony w ramach realizacji umowy pochodzi z legalnego źródła i nie jest częścią żadnego projektu oferowanego dla innych podmiotów.</w:t>
      </w:r>
    </w:p>
    <w:p w14:paraId="6AF31BFF"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Wymagane jest oświadczenie Wykonawcy lub producenta urządzenia lub autoryzowanego przedstawiciela producenta, że oferowane urządzenia są fabrycznie nowe i nie są sprzętem poserwisowym i refrabrykowanym.</w:t>
      </w:r>
    </w:p>
    <w:p w14:paraId="0B860671" w14:textId="77777777" w:rsidR="002F4F56" w:rsidRPr="00293C9B" w:rsidRDefault="002F4F56" w:rsidP="00293C9B">
      <w:pPr>
        <w:pStyle w:val="Bezodstpw"/>
        <w:numPr>
          <w:ilvl w:val="0"/>
          <w:numId w:val="28"/>
        </w:numPr>
        <w:spacing w:line="24" w:lineRule="atLeast"/>
        <w:ind w:left="426" w:hanging="426"/>
        <w:rPr>
          <w:rFonts w:cstheme="minorHAnsi"/>
        </w:rPr>
      </w:pPr>
      <w:r w:rsidRPr="00293C9B">
        <w:rPr>
          <w:rFonts w:cstheme="minorHAnsi"/>
        </w:rPr>
        <w:t>Wymagane jest oświadczenie o pozostawieniu nośnika danych u Zamawiającego na wypadek awarii urządzenia lub samego nośnika danych.</w:t>
      </w:r>
    </w:p>
    <w:p w14:paraId="2FB1D9D2" w14:textId="2EEF9533" w:rsidR="002F4F56" w:rsidRDefault="002F4F56" w:rsidP="00293C9B">
      <w:pPr>
        <w:pStyle w:val="Bezodstpw"/>
        <w:numPr>
          <w:ilvl w:val="0"/>
          <w:numId w:val="28"/>
        </w:numPr>
        <w:spacing w:line="24" w:lineRule="atLeast"/>
        <w:ind w:left="426" w:hanging="426"/>
        <w:rPr>
          <w:rFonts w:cstheme="minorHAnsi"/>
        </w:rPr>
      </w:pPr>
      <w:r w:rsidRPr="00293C9B">
        <w:rPr>
          <w:rFonts w:cstheme="minorHAnsi"/>
        </w:rPr>
        <w:lastRenderedPageBreak/>
        <w:t>Zamawiane urządzenia zabezpieczające muszą w pełni współpracować z Centralnym Systemem Zarządzania posiadanym przez Zamawiającego „Palo Alto Panorama”. Wymagane jest oświadczenie potwierdzające spełnienie tego wymagania.</w:t>
      </w:r>
    </w:p>
    <w:p w14:paraId="383B82AB" w14:textId="77777777" w:rsidR="00293C9B" w:rsidRPr="00293C9B" w:rsidRDefault="00293C9B" w:rsidP="00293C9B">
      <w:pPr>
        <w:pStyle w:val="Bezodstpw"/>
        <w:spacing w:line="24" w:lineRule="atLeast"/>
        <w:ind w:left="426"/>
        <w:rPr>
          <w:rFonts w:cstheme="minorHAnsi"/>
        </w:rPr>
      </w:pPr>
    </w:p>
    <w:p w14:paraId="31393C50" w14:textId="47ABA84E" w:rsidR="002F4F56" w:rsidRPr="00293C9B" w:rsidRDefault="002F4F56" w:rsidP="00293C9B">
      <w:pPr>
        <w:pStyle w:val="Akapitzlist"/>
        <w:numPr>
          <w:ilvl w:val="0"/>
          <w:numId w:val="16"/>
        </w:numPr>
        <w:spacing w:after="0" w:line="24" w:lineRule="atLeast"/>
        <w:contextualSpacing w:val="0"/>
        <w:rPr>
          <w:rFonts w:asciiTheme="minorHAnsi" w:hAnsiTheme="minorHAnsi" w:cstheme="minorHAnsi"/>
          <w:b/>
        </w:rPr>
      </w:pPr>
      <w:r w:rsidRPr="00293C9B">
        <w:rPr>
          <w:rFonts w:asciiTheme="minorHAnsi" w:hAnsiTheme="minorHAnsi" w:cstheme="minorHAnsi"/>
          <w:b/>
        </w:rPr>
        <w:t>WYKAZ LOKALIZACJI</w:t>
      </w:r>
    </w:p>
    <w:p w14:paraId="7BCB9F60" w14:textId="27A523CE" w:rsidR="002F4F56" w:rsidRDefault="002F4F56" w:rsidP="00293C9B">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 xml:space="preserve">Sąd Rejonowy w </w:t>
      </w:r>
      <w:r w:rsidR="00E24741">
        <w:rPr>
          <w:rFonts w:asciiTheme="minorHAnsi" w:hAnsiTheme="minorHAnsi" w:cstheme="minorHAnsi"/>
        </w:rPr>
        <w:t>Bielsku Podlaskim (wydział w Siemiatyczach)</w:t>
      </w:r>
    </w:p>
    <w:p w14:paraId="1868F3E7" w14:textId="02299BE3" w:rsidR="00E24741" w:rsidRDefault="00E24741" w:rsidP="00E24741">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 xml:space="preserve">Sąd Rejonowy w </w:t>
      </w:r>
      <w:r>
        <w:rPr>
          <w:rFonts w:asciiTheme="minorHAnsi" w:hAnsiTheme="minorHAnsi" w:cstheme="minorHAnsi"/>
        </w:rPr>
        <w:t>Bielsku Podlaskim (wydział w Hajnówce)</w:t>
      </w:r>
    </w:p>
    <w:p w14:paraId="114E06CB" w14:textId="0D7A3052" w:rsidR="00E24741" w:rsidRDefault="00E24741" w:rsidP="00E24741">
      <w:pPr>
        <w:pStyle w:val="Akapitzlist"/>
        <w:numPr>
          <w:ilvl w:val="0"/>
          <w:numId w:val="29"/>
        </w:numPr>
        <w:spacing w:after="0" w:line="24" w:lineRule="atLeast"/>
        <w:ind w:left="567"/>
        <w:contextualSpacing w:val="0"/>
        <w:rPr>
          <w:rFonts w:asciiTheme="minorHAnsi" w:hAnsiTheme="minorHAnsi" w:cstheme="minorHAnsi"/>
        </w:rPr>
      </w:pPr>
      <w:r w:rsidRPr="00293C9B">
        <w:rPr>
          <w:rFonts w:asciiTheme="minorHAnsi" w:hAnsiTheme="minorHAnsi" w:cstheme="minorHAnsi"/>
        </w:rPr>
        <w:t xml:space="preserve">Sąd Rejonowy w </w:t>
      </w:r>
      <w:r>
        <w:rPr>
          <w:rFonts w:asciiTheme="minorHAnsi" w:hAnsiTheme="minorHAnsi" w:cstheme="minorHAnsi"/>
        </w:rPr>
        <w:t>Bielsku Podlaskim</w:t>
      </w:r>
    </w:p>
    <w:p w14:paraId="1D31B00B" w14:textId="7849DCAE"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Białymstoku</w:t>
      </w:r>
    </w:p>
    <w:p w14:paraId="5EFB2053" w14:textId="7634E4D3"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Ełku</w:t>
      </w:r>
    </w:p>
    <w:p w14:paraId="127DC830" w14:textId="587AD2A5"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Giżycku (ul. Gdańska)</w:t>
      </w:r>
    </w:p>
    <w:p w14:paraId="2CDB1EA2" w14:textId="54677B6C"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Giżycku</w:t>
      </w:r>
    </w:p>
    <w:p w14:paraId="37141F24" w14:textId="0D245A1C"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Giżycku (Wydział Węgorzewo)</w:t>
      </w:r>
    </w:p>
    <w:p w14:paraId="41C79B85" w14:textId="76F8C7C4"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Okręgowy w Olsztynie (OZSS Olsztyn)</w:t>
      </w:r>
    </w:p>
    <w:p w14:paraId="4D3113B0" w14:textId="517CA99A" w:rsidR="00E24741" w:rsidRDefault="00E24741"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w:t>
      </w:r>
      <w:r w:rsidR="00BA0A0C">
        <w:rPr>
          <w:rFonts w:asciiTheme="minorHAnsi" w:hAnsiTheme="minorHAnsi" w:cstheme="minorHAnsi"/>
        </w:rPr>
        <w:t>o</w:t>
      </w:r>
      <w:r>
        <w:rPr>
          <w:rFonts w:asciiTheme="minorHAnsi" w:hAnsiTheme="minorHAnsi" w:cstheme="minorHAnsi"/>
        </w:rPr>
        <w:t>nowy w Augustowie</w:t>
      </w:r>
    </w:p>
    <w:p w14:paraId="6ABD7024" w14:textId="5CD69C81" w:rsidR="00BA0A0C" w:rsidRDefault="00BA0A0C"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Augustowie (wydział Sejny)</w:t>
      </w:r>
    </w:p>
    <w:p w14:paraId="75E0427E" w14:textId="513B4C4F" w:rsidR="00BA0A0C" w:rsidRDefault="00BA0A0C"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Sokółce</w:t>
      </w:r>
    </w:p>
    <w:p w14:paraId="6295FCC4" w14:textId="39C650D2" w:rsidR="00BA0A0C" w:rsidRDefault="00BA0A0C"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Grajewie</w:t>
      </w:r>
    </w:p>
    <w:p w14:paraId="120397AF" w14:textId="723904E1" w:rsidR="00BA0A0C" w:rsidRDefault="00BA0A0C"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Łomży (wydział w Kolnie)</w:t>
      </w:r>
    </w:p>
    <w:p w14:paraId="2A1D5021" w14:textId="3343BE8A" w:rsidR="00BA0A0C" w:rsidRDefault="00BA0A0C" w:rsidP="00293C9B">
      <w:pPr>
        <w:pStyle w:val="Akapitzlist"/>
        <w:numPr>
          <w:ilvl w:val="0"/>
          <w:numId w:val="29"/>
        </w:numPr>
        <w:spacing w:after="0" w:line="24" w:lineRule="atLeast"/>
        <w:ind w:left="567"/>
        <w:contextualSpacing w:val="0"/>
        <w:rPr>
          <w:rFonts w:asciiTheme="minorHAnsi" w:hAnsiTheme="minorHAnsi" w:cstheme="minorHAnsi"/>
        </w:rPr>
      </w:pPr>
      <w:r>
        <w:rPr>
          <w:rFonts w:asciiTheme="minorHAnsi" w:hAnsiTheme="minorHAnsi" w:cstheme="minorHAnsi"/>
        </w:rPr>
        <w:t>Sąd Rejonowy w Kętrzynie</w:t>
      </w:r>
    </w:p>
    <w:p w14:paraId="05E5691A" w14:textId="3CE4BE7C" w:rsidR="00BA0A0C" w:rsidRPr="00293C9B" w:rsidRDefault="00BA0A0C" w:rsidP="00BA0A0C">
      <w:pPr>
        <w:pStyle w:val="Akapitzlist"/>
        <w:spacing w:after="0" w:line="24" w:lineRule="atLeast"/>
        <w:ind w:left="567"/>
        <w:contextualSpacing w:val="0"/>
        <w:rPr>
          <w:rFonts w:asciiTheme="minorHAnsi" w:hAnsiTheme="minorHAnsi" w:cstheme="minorHAnsi"/>
        </w:rPr>
      </w:pPr>
    </w:p>
    <w:p w14:paraId="14DCCB49" w14:textId="68855C8D" w:rsidR="002F4F56" w:rsidRPr="00293C9B" w:rsidRDefault="002F4F56" w:rsidP="00E24741">
      <w:pPr>
        <w:pStyle w:val="Akapitzlist"/>
        <w:spacing w:after="0" w:line="24" w:lineRule="atLeast"/>
        <w:ind w:left="567"/>
        <w:contextualSpacing w:val="0"/>
        <w:rPr>
          <w:rFonts w:asciiTheme="minorHAnsi" w:hAnsiTheme="minorHAnsi" w:cstheme="minorHAnsi"/>
        </w:rPr>
      </w:pPr>
      <w:r w:rsidRPr="00293C9B">
        <w:rPr>
          <w:rFonts w:asciiTheme="minorHAnsi" w:hAnsiTheme="minorHAnsi" w:cstheme="minorHAnsi"/>
        </w:rPr>
        <w:br w:type="page"/>
      </w:r>
    </w:p>
    <w:p w14:paraId="756F6B9C" w14:textId="77777777" w:rsidR="002F4F56" w:rsidRPr="00293C9B" w:rsidRDefault="002F4F56" w:rsidP="00293C9B">
      <w:pPr>
        <w:spacing w:line="24" w:lineRule="atLeast"/>
        <w:ind w:left="720" w:hanging="720"/>
        <w:jc w:val="both"/>
        <w:rPr>
          <w:rFonts w:asciiTheme="minorHAnsi" w:hAnsiTheme="minorHAnsi" w:cstheme="minorHAnsi"/>
          <w:b/>
          <w:sz w:val="22"/>
          <w:szCs w:val="22"/>
          <w:u w:val="single"/>
        </w:rPr>
      </w:pPr>
      <w:r w:rsidRPr="00293C9B">
        <w:rPr>
          <w:rFonts w:asciiTheme="minorHAnsi" w:hAnsiTheme="minorHAnsi" w:cstheme="minorHAnsi"/>
          <w:b/>
          <w:sz w:val="22"/>
          <w:szCs w:val="22"/>
          <w:u w:val="single"/>
        </w:rPr>
        <w:lastRenderedPageBreak/>
        <w:t>CZĘŚĆ 2 ZAMÓWNIENIA</w:t>
      </w:r>
    </w:p>
    <w:p w14:paraId="4E80336F" w14:textId="77777777" w:rsidR="002F4F56" w:rsidRPr="00293C9B" w:rsidRDefault="002F4F56" w:rsidP="00293C9B">
      <w:pPr>
        <w:spacing w:line="24" w:lineRule="atLeast"/>
        <w:jc w:val="both"/>
        <w:rPr>
          <w:rFonts w:asciiTheme="minorHAnsi" w:hAnsiTheme="minorHAnsi" w:cstheme="minorHAnsi"/>
          <w:sz w:val="22"/>
          <w:szCs w:val="22"/>
        </w:rPr>
      </w:pPr>
    </w:p>
    <w:p w14:paraId="2E2949C5" w14:textId="77777777" w:rsidR="002F4F56" w:rsidRPr="00293C9B" w:rsidRDefault="002F4F56" w:rsidP="00293C9B">
      <w:pPr>
        <w:pStyle w:val="Akapitzlist"/>
        <w:numPr>
          <w:ilvl w:val="0"/>
          <w:numId w:val="1"/>
        </w:numPr>
        <w:spacing w:after="0" w:line="24" w:lineRule="atLeast"/>
        <w:ind w:left="567" w:hanging="567"/>
        <w:contextualSpacing w:val="0"/>
        <w:rPr>
          <w:rFonts w:asciiTheme="minorHAnsi" w:hAnsiTheme="minorHAnsi" w:cstheme="minorHAnsi"/>
          <w:b/>
        </w:rPr>
      </w:pPr>
      <w:r w:rsidRPr="00293C9B">
        <w:rPr>
          <w:rFonts w:asciiTheme="minorHAnsi" w:hAnsiTheme="minorHAnsi" w:cstheme="minorHAnsi"/>
          <w:b/>
        </w:rPr>
        <w:t>Przedmiot zamówienia</w:t>
      </w:r>
    </w:p>
    <w:p w14:paraId="00FFE336" w14:textId="77777777" w:rsidR="002F4F56" w:rsidRPr="00293C9B" w:rsidRDefault="002F4F56" w:rsidP="00293C9B">
      <w:pPr>
        <w:pStyle w:val="Akapitzlist"/>
        <w:numPr>
          <w:ilvl w:val="0"/>
          <w:numId w:val="2"/>
        </w:numPr>
        <w:spacing w:after="0" w:line="24" w:lineRule="atLeast"/>
        <w:contextualSpacing w:val="0"/>
        <w:rPr>
          <w:rFonts w:asciiTheme="minorHAnsi" w:hAnsiTheme="minorHAnsi" w:cstheme="minorHAnsi"/>
        </w:rPr>
      </w:pPr>
      <w:r w:rsidRPr="00293C9B">
        <w:rPr>
          <w:rFonts w:asciiTheme="minorHAnsi" w:hAnsiTheme="minorHAnsi" w:cstheme="minorHAnsi"/>
        </w:rPr>
        <w:t>Przedmiotem zamówienia jest przedłużenie subskrypcji i wsparcia dla posiadanych urządzeń   bezpieczeństwa brzegu sieci w sądach apelacji białostockiej.</w:t>
      </w:r>
    </w:p>
    <w:p w14:paraId="73BC3D85" w14:textId="77777777" w:rsidR="002F4F56" w:rsidRPr="00293C9B" w:rsidRDefault="002F4F56" w:rsidP="00293C9B">
      <w:pPr>
        <w:pStyle w:val="Akapitzlist"/>
        <w:numPr>
          <w:ilvl w:val="0"/>
          <w:numId w:val="2"/>
        </w:numPr>
        <w:spacing w:after="0" w:line="24" w:lineRule="atLeast"/>
        <w:ind w:left="641" w:hanging="357"/>
        <w:contextualSpacing w:val="0"/>
        <w:rPr>
          <w:rFonts w:asciiTheme="minorHAnsi" w:hAnsiTheme="minorHAnsi" w:cstheme="minorHAnsi"/>
        </w:rPr>
      </w:pPr>
      <w:r w:rsidRPr="00293C9B">
        <w:rPr>
          <w:rFonts w:asciiTheme="minorHAnsi" w:hAnsiTheme="minorHAnsi" w:cstheme="minorHAnsi"/>
        </w:rPr>
        <w:t>W zakres przedmiotu zamówienia wchodzą:</w:t>
      </w:r>
    </w:p>
    <w:p w14:paraId="3AEAE455" w14:textId="77777777" w:rsidR="002F4F56" w:rsidRPr="00293C9B" w:rsidRDefault="002F4F56" w:rsidP="00293C9B">
      <w:pPr>
        <w:spacing w:line="24" w:lineRule="atLeast"/>
        <w:ind w:left="1134"/>
        <w:rPr>
          <w:rFonts w:asciiTheme="minorHAnsi" w:hAnsiTheme="minorHAnsi" w:cstheme="minorHAnsi"/>
          <w:sz w:val="22"/>
          <w:szCs w:val="22"/>
        </w:rPr>
      </w:pPr>
    </w:p>
    <w:p w14:paraId="60466AF1" w14:textId="479753A7" w:rsidR="002F4F56" w:rsidRPr="00753599" w:rsidRDefault="002F4F56" w:rsidP="00753599">
      <w:pPr>
        <w:pStyle w:val="Akapitzlist"/>
        <w:numPr>
          <w:ilvl w:val="0"/>
          <w:numId w:val="38"/>
        </w:numPr>
        <w:spacing w:line="24" w:lineRule="atLeast"/>
        <w:rPr>
          <w:rFonts w:asciiTheme="minorHAnsi" w:hAnsiTheme="minorHAnsi" w:cstheme="minorHAnsi"/>
        </w:rPr>
      </w:pPr>
      <w:r w:rsidRPr="00753599">
        <w:rPr>
          <w:rFonts w:asciiTheme="minorHAnsi" w:hAnsiTheme="minorHAnsi" w:cstheme="minorHAnsi"/>
        </w:rPr>
        <w:t xml:space="preserve">przedłużenie subskrypcji oraz usługi wsparcia dla urządzenia PaloAlto 820 na okres </w:t>
      </w:r>
      <w:r w:rsidR="00753599" w:rsidRPr="00753599">
        <w:rPr>
          <w:rFonts w:asciiTheme="minorHAnsi" w:hAnsiTheme="minorHAnsi" w:cstheme="minorHAnsi"/>
        </w:rPr>
        <w:t>12</w:t>
      </w:r>
      <w:r w:rsidRPr="00753599">
        <w:rPr>
          <w:rFonts w:asciiTheme="minorHAnsi" w:hAnsiTheme="minorHAnsi" w:cstheme="minorHAnsi"/>
        </w:rPr>
        <w:t xml:space="preserve"> miesięcy lub końca jego życia wg danych producenta od dnia wygaśnięcia aktualnie obowiązującego wsparcia.</w:t>
      </w:r>
    </w:p>
    <w:p w14:paraId="08818622" w14:textId="77777777" w:rsidR="002F4F56" w:rsidRPr="00293C9B" w:rsidRDefault="002F4F56" w:rsidP="00293C9B">
      <w:pPr>
        <w:spacing w:line="24" w:lineRule="atLeast"/>
        <w:rPr>
          <w:rFonts w:asciiTheme="minorHAnsi" w:hAnsiTheme="minorHAnsi" w:cstheme="minorHAnsi"/>
          <w:sz w:val="22"/>
          <w:szCs w:val="22"/>
        </w:rPr>
      </w:pPr>
    </w:p>
    <w:tbl>
      <w:tblPr>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4111"/>
        <w:gridCol w:w="1417"/>
        <w:gridCol w:w="1701"/>
        <w:gridCol w:w="2126"/>
      </w:tblGrid>
      <w:tr w:rsidR="002F4F56" w:rsidRPr="00293C9B" w14:paraId="33210D79" w14:textId="77777777" w:rsidTr="005A6247">
        <w:trPr>
          <w:tblHeader/>
        </w:trPr>
        <w:tc>
          <w:tcPr>
            <w:tcW w:w="845" w:type="dxa"/>
            <w:tcBorders>
              <w:top w:val="single" w:sz="4" w:space="0" w:color="auto"/>
              <w:left w:val="single" w:sz="4" w:space="0" w:color="auto"/>
              <w:bottom w:val="single" w:sz="4" w:space="0" w:color="auto"/>
              <w:right w:val="single" w:sz="4" w:space="0" w:color="auto"/>
            </w:tcBorders>
            <w:hideMark/>
          </w:tcPr>
          <w:p w14:paraId="6C036D03"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Lp.</w:t>
            </w:r>
          </w:p>
        </w:tc>
        <w:tc>
          <w:tcPr>
            <w:tcW w:w="4111" w:type="dxa"/>
            <w:tcBorders>
              <w:top w:val="single" w:sz="4" w:space="0" w:color="auto"/>
              <w:left w:val="single" w:sz="4" w:space="0" w:color="auto"/>
              <w:bottom w:val="single" w:sz="4" w:space="0" w:color="auto"/>
              <w:right w:val="single" w:sz="4" w:space="0" w:color="auto"/>
            </w:tcBorders>
            <w:hideMark/>
          </w:tcPr>
          <w:p w14:paraId="5A7A01CD"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Jednostka</w:t>
            </w:r>
          </w:p>
        </w:tc>
        <w:tc>
          <w:tcPr>
            <w:tcW w:w="1417" w:type="dxa"/>
            <w:tcBorders>
              <w:top w:val="single" w:sz="4" w:space="0" w:color="auto"/>
              <w:left w:val="single" w:sz="4" w:space="0" w:color="auto"/>
              <w:bottom w:val="single" w:sz="4" w:space="0" w:color="auto"/>
              <w:right w:val="single" w:sz="4" w:space="0" w:color="auto"/>
            </w:tcBorders>
            <w:hideMark/>
          </w:tcPr>
          <w:p w14:paraId="15A3FD1A"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Nazwa urządzenia</w:t>
            </w:r>
          </w:p>
        </w:tc>
        <w:tc>
          <w:tcPr>
            <w:tcW w:w="1701" w:type="dxa"/>
            <w:tcBorders>
              <w:top w:val="single" w:sz="4" w:space="0" w:color="auto"/>
              <w:left w:val="single" w:sz="4" w:space="0" w:color="auto"/>
              <w:bottom w:val="single" w:sz="4" w:space="0" w:color="auto"/>
              <w:right w:val="single" w:sz="4" w:space="0" w:color="auto"/>
            </w:tcBorders>
            <w:hideMark/>
          </w:tcPr>
          <w:p w14:paraId="4F3189F0"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Numer seryjny</w:t>
            </w:r>
          </w:p>
        </w:tc>
        <w:tc>
          <w:tcPr>
            <w:tcW w:w="2126" w:type="dxa"/>
            <w:tcBorders>
              <w:top w:val="single" w:sz="4" w:space="0" w:color="auto"/>
              <w:left w:val="single" w:sz="4" w:space="0" w:color="auto"/>
              <w:bottom w:val="single" w:sz="4" w:space="0" w:color="auto"/>
              <w:right w:val="single" w:sz="4" w:space="0" w:color="auto"/>
            </w:tcBorders>
            <w:hideMark/>
          </w:tcPr>
          <w:p w14:paraId="3A859E92"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Wsparcie ważne do</w:t>
            </w:r>
          </w:p>
        </w:tc>
      </w:tr>
      <w:tr w:rsidR="002F4F56" w:rsidRPr="00293C9B" w14:paraId="6FACA636" w14:textId="77777777" w:rsidTr="005A6247">
        <w:tc>
          <w:tcPr>
            <w:tcW w:w="845" w:type="dxa"/>
            <w:tcBorders>
              <w:top w:val="single" w:sz="4" w:space="0" w:color="auto"/>
              <w:left w:val="single" w:sz="4" w:space="0" w:color="auto"/>
              <w:bottom w:val="single" w:sz="4" w:space="0" w:color="auto"/>
              <w:right w:val="single" w:sz="4" w:space="0" w:color="auto"/>
            </w:tcBorders>
          </w:tcPr>
          <w:p w14:paraId="160EAAE9" w14:textId="77777777" w:rsidR="002F4F56" w:rsidRPr="00293C9B" w:rsidRDefault="002F4F56" w:rsidP="00293C9B">
            <w:pPr>
              <w:numPr>
                <w:ilvl w:val="0"/>
                <w:numId w:val="26"/>
              </w:numPr>
              <w:spacing w:line="24" w:lineRule="atLeast"/>
              <w:rPr>
                <w:rFonts w:asciiTheme="minorHAnsi" w:eastAsia="Calibri" w:hAnsiTheme="minorHAnsi" w:cstheme="minorHAnsi"/>
                <w:sz w:val="22"/>
                <w:szCs w:val="22"/>
              </w:rPr>
            </w:pPr>
          </w:p>
        </w:tc>
        <w:tc>
          <w:tcPr>
            <w:tcW w:w="4111" w:type="dxa"/>
            <w:tcBorders>
              <w:top w:val="single" w:sz="4" w:space="0" w:color="auto"/>
              <w:left w:val="single" w:sz="4" w:space="0" w:color="auto"/>
              <w:bottom w:val="single" w:sz="4" w:space="0" w:color="auto"/>
              <w:right w:val="single" w:sz="4" w:space="0" w:color="auto"/>
            </w:tcBorders>
            <w:hideMark/>
          </w:tcPr>
          <w:p w14:paraId="4BBF58DA" w14:textId="325B3F72"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 xml:space="preserve">Sąd </w:t>
            </w:r>
            <w:r w:rsidRPr="00293C9B">
              <w:rPr>
                <w:rFonts w:asciiTheme="minorHAnsi" w:hAnsiTheme="minorHAnsi" w:cstheme="minorHAnsi"/>
                <w:sz w:val="22"/>
                <w:szCs w:val="22"/>
              </w:rPr>
              <w:t xml:space="preserve">Okręgowy w </w:t>
            </w:r>
            <w:r w:rsidR="00E53FF7">
              <w:rPr>
                <w:rFonts w:asciiTheme="minorHAnsi" w:hAnsiTheme="minorHAnsi" w:cstheme="minorHAnsi"/>
                <w:sz w:val="22"/>
                <w:szCs w:val="22"/>
              </w:rPr>
              <w:t>Białymstoku</w:t>
            </w:r>
          </w:p>
        </w:tc>
        <w:tc>
          <w:tcPr>
            <w:tcW w:w="1417" w:type="dxa"/>
            <w:tcBorders>
              <w:top w:val="single" w:sz="4" w:space="0" w:color="auto"/>
              <w:left w:val="single" w:sz="4" w:space="0" w:color="auto"/>
              <w:bottom w:val="single" w:sz="4" w:space="0" w:color="auto"/>
              <w:right w:val="single" w:sz="4" w:space="0" w:color="auto"/>
            </w:tcBorders>
            <w:hideMark/>
          </w:tcPr>
          <w:p w14:paraId="06C0837B" w14:textId="77777777"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eastAsia="Calibri" w:hAnsiTheme="minorHAnsi" w:cstheme="minorHAnsi"/>
                <w:sz w:val="22"/>
                <w:szCs w:val="22"/>
              </w:rPr>
              <w:t>PA-</w:t>
            </w:r>
            <w:r w:rsidRPr="00293C9B">
              <w:rPr>
                <w:rFonts w:asciiTheme="minorHAnsi" w:hAnsiTheme="minorHAnsi" w:cstheme="minorHAnsi"/>
                <w:sz w:val="22"/>
                <w:szCs w:val="22"/>
              </w:rPr>
              <w:t>820</w:t>
            </w:r>
          </w:p>
        </w:tc>
        <w:tc>
          <w:tcPr>
            <w:tcW w:w="1701" w:type="dxa"/>
            <w:tcBorders>
              <w:top w:val="single" w:sz="4" w:space="0" w:color="auto"/>
              <w:left w:val="single" w:sz="4" w:space="0" w:color="auto"/>
              <w:bottom w:val="single" w:sz="4" w:space="0" w:color="auto"/>
              <w:right w:val="single" w:sz="4" w:space="0" w:color="auto"/>
            </w:tcBorders>
            <w:hideMark/>
          </w:tcPr>
          <w:p w14:paraId="2280C8D2" w14:textId="5EBEA596" w:rsidR="002F4F56" w:rsidRPr="00293C9B" w:rsidRDefault="002F4F56" w:rsidP="00293C9B">
            <w:pPr>
              <w:spacing w:line="24" w:lineRule="atLeast"/>
              <w:rPr>
                <w:rFonts w:asciiTheme="minorHAnsi" w:eastAsia="Calibri" w:hAnsiTheme="minorHAnsi" w:cstheme="minorHAnsi"/>
                <w:sz w:val="22"/>
                <w:szCs w:val="22"/>
              </w:rPr>
            </w:pPr>
            <w:r w:rsidRPr="00293C9B">
              <w:rPr>
                <w:rFonts w:asciiTheme="minorHAnsi" w:hAnsiTheme="minorHAnsi" w:cstheme="minorHAnsi"/>
                <w:sz w:val="22"/>
                <w:szCs w:val="22"/>
              </w:rPr>
              <w:t>012001</w:t>
            </w:r>
            <w:r w:rsidR="00E53FF7">
              <w:rPr>
                <w:rFonts w:asciiTheme="minorHAnsi" w:hAnsiTheme="minorHAnsi" w:cstheme="minorHAnsi"/>
                <w:sz w:val="22"/>
                <w:szCs w:val="22"/>
              </w:rPr>
              <w:t>040461</w:t>
            </w:r>
          </w:p>
        </w:tc>
        <w:tc>
          <w:tcPr>
            <w:tcW w:w="2126" w:type="dxa"/>
            <w:tcBorders>
              <w:top w:val="single" w:sz="4" w:space="0" w:color="auto"/>
              <w:left w:val="single" w:sz="4" w:space="0" w:color="auto"/>
              <w:bottom w:val="single" w:sz="4" w:space="0" w:color="auto"/>
              <w:right w:val="single" w:sz="4" w:space="0" w:color="auto"/>
            </w:tcBorders>
            <w:hideMark/>
          </w:tcPr>
          <w:p w14:paraId="41A4F08A" w14:textId="01F49107" w:rsidR="002F4F56" w:rsidRPr="00293C9B" w:rsidRDefault="00E53FF7" w:rsidP="00293C9B">
            <w:pPr>
              <w:spacing w:line="24" w:lineRule="atLeast"/>
              <w:rPr>
                <w:rFonts w:asciiTheme="minorHAnsi" w:eastAsia="Calibri" w:hAnsiTheme="minorHAnsi" w:cstheme="minorHAnsi"/>
                <w:sz w:val="22"/>
                <w:szCs w:val="22"/>
              </w:rPr>
            </w:pPr>
            <w:r>
              <w:rPr>
                <w:rFonts w:asciiTheme="minorHAnsi" w:hAnsiTheme="minorHAnsi" w:cstheme="minorHAnsi"/>
                <w:sz w:val="22"/>
                <w:szCs w:val="22"/>
              </w:rPr>
              <w:t>19</w:t>
            </w:r>
            <w:r w:rsidR="002F4F56" w:rsidRPr="00293C9B">
              <w:rPr>
                <w:rFonts w:asciiTheme="minorHAnsi" w:hAnsiTheme="minorHAnsi" w:cstheme="minorHAnsi"/>
                <w:sz w:val="22"/>
                <w:szCs w:val="22"/>
              </w:rPr>
              <w:t>.12.202</w:t>
            </w:r>
            <w:r>
              <w:rPr>
                <w:rFonts w:asciiTheme="minorHAnsi" w:hAnsiTheme="minorHAnsi" w:cstheme="minorHAnsi"/>
                <w:sz w:val="22"/>
                <w:szCs w:val="22"/>
              </w:rPr>
              <w:t>5</w:t>
            </w:r>
          </w:p>
        </w:tc>
      </w:tr>
    </w:tbl>
    <w:p w14:paraId="784447F6" w14:textId="6E14700E"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zapobiegania zagrożeń (Threat prevention) dla urządzenia PA-820 przez okres </w:t>
      </w:r>
      <w:r w:rsidR="00903779">
        <w:rPr>
          <w:rFonts w:asciiTheme="minorHAnsi" w:hAnsiTheme="minorHAnsi" w:cstheme="minorHAnsi"/>
          <w:sz w:val="22"/>
          <w:szCs w:val="22"/>
        </w:rPr>
        <w:t>jednego roku</w:t>
      </w:r>
      <w:r w:rsidRPr="00293C9B">
        <w:rPr>
          <w:rFonts w:asciiTheme="minorHAnsi" w:hAnsiTheme="minorHAnsi" w:cstheme="minorHAnsi"/>
          <w:sz w:val="22"/>
          <w:szCs w:val="22"/>
        </w:rPr>
        <w:t xml:space="preserve"> od dnia wygaśnięcia aktualnie obowiązującego wsparcia.</w:t>
      </w:r>
    </w:p>
    <w:p w14:paraId="6E899217" w14:textId="174B3E98"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filtrowania adresów internetowych (URL filtering with PANDB) dla urządzenia PA-820 przez okres </w:t>
      </w:r>
      <w:r w:rsidR="00903779">
        <w:rPr>
          <w:rFonts w:asciiTheme="minorHAnsi" w:hAnsiTheme="minorHAnsi" w:cstheme="minorHAnsi"/>
          <w:sz w:val="22"/>
          <w:szCs w:val="22"/>
        </w:rPr>
        <w:t>jednego roku</w:t>
      </w:r>
      <w:r w:rsidR="00903779" w:rsidRPr="00293C9B">
        <w:rPr>
          <w:rFonts w:asciiTheme="minorHAnsi" w:hAnsiTheme="minorHAnsi" w:cstheme="minorHAnsi"/>
          <w:sz w:val="22"/>
          <w:szCs w:val="22"/>
        </w:rPr>
        <w:t xml:space="preserve"> </w:t>
      </w:r>
      <w:r w:rsidRPr="00293C9B">
        <w:rPr>
          <w:rFonts w:asciiTheme="minorHAnsi" w:hAnsiTheme="minorHAnsi" w:cstheme="minorHAnsi"/>
          <w:sz w:val="22"/>
          <w:szCs w:val="22"/>
        </w:rPr>
        <w:t>od dnia wygaśnięcia aktualnie obowiązującego wsparcia.</w:t>
      </w:r>
    </w:p>
    <w:p w14:paraId="2EB66196" w14:textId="61355E8D"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subskrypcji wczesnego wykrywania analizy nieznanych zagrożeń (WildFire) dla urządzenia PA-820 przez okres </w:t>
      </w:r>
      <w:r w:rsidR="00903779">
        <w:rPr>
          <w:rFonts w:asciiTheme="minorHAnsi" w:hAnsiTheme="minorHAnsi" w:cstheme="minorHAnsi"/>
          <w:sz w:val="22"/>
          <w:szCs w:val="22"/>
        </w:rPr>
        <w:t>jednego roku</w:t>
      </w:r>
      <w:r w:rsidR="00903779" w:rsidRPr="00293C9B">
        <w:rPr>
          <w:rFonts w:asciiTheme="minorHAnsi" w:hAnsiTheme="minorHAnsi" w:cstheme="minorHAnsi"/>
          <w:sz w:val="22"/>
          <w:szCs w:val="22"/>
        </w:rPr>
        <w:t xml:space="preserve"> </w:t>
      </w:r>
      <w:r w:rsidRPr="00293C9B">
        <w:rPr>
          <w:rFonts w:asciiTheme="minorHAnsi" w:hAnsiTheme="minorHAnsi" w:cstheme="minorHAnsi"/>
          <w:sz w:val="22"/>
          <w:szCs w:val="22"/>
        </w:rPr>
        <w:t>od dnia wygaśnięcia aktualnie obowiązującego wsparcia.</w:t>
      </w:r>
    </w:p>
    <w:p w14:paraId="25CA7A41" w14:textId="209B4905" w:rsidR="002F4F56" w:rsidRPr="00293C9B" w:rsidRDefault="002F4F56" w:rsidP="00293C9B">
      <w:pPr>
        <w:numPr>
          <w:ilvl w:val="0"/>
          <w:numId w:val="25"/>
        </w:numPr>
        <w:spacing w:line="24" w:lineRule="atLeast"/>
        <w:ind w:left="1134"/>
        <w:rPr>
          <w:rFonts w:asciiTheme="minorHAnsi" w:hAnsiTheme="minorHAnsi" w:cstheme="minorHAnsi"/>
          <w:sz w:val="22"/>
          <w:szCs w:val="22"/>
        </w:rPr>
      </w:pPr>
      <w:r w:rsidRPr="00293C9B">
        <w:rPr>
          <w:rFonts w:asciiTheme="minorHAnsi" w:hAnsiTheme="minorHAnsi" w:cstheme="minorHAnsi"/>
          <w:sz w:val="22"/>
          <w:szCs w:val="22"/>
        </w:rPr>
        <w:t xml:space="preserve">odnowienie wsparcia technicznego, gwarancji i serwisu opartego na usługach serwisowych producenta ww. sprzętu (Partner Premium Support) dla urządzenia PA-820 przez okres </w:t>
      </w:r>
      <w:r w:rsidR="00903779">
        <w:rPr>
          <w:rFonts w:asciiTheme="minorHAnsi" w:hAnsiTheme="minorHAnsi" w:cstheme="minorHAnsi"/>
          <w:sz w:val="22"/>
          <w:szCs w:val="22"/>
        </w:rPr>
        <w:t>jednego roku</w:t>
      </w:r>
      <w:r w:rsidR="00903779" w:rsidRPr="00293C9B">
        <w:rPr>
          <w:rFonts w:asciiTheme="minorHAnsi" w:hAnsiTheme="minorHAnsi" w:cstheme="minorHAnsi"/>
          <w:sz w:val="22"/>
          <w:szCs w:val="22"/>
        </w:rPr>
        <w:t xml:space="preserve"> </w:t>
      </w:r>
      <w:r w:rsidRPr="00293C9B">
        <w:rPr>
          <w:rFonts w:asciiTheme="minorHAnsi" w:hAnsiTheme="minorHAnsi" w:cstheme="minorHAnsi"/>
          <w:sz w:val="22"/>
          <w:szCs w:val="22"/>
        </w:rPr>
        <w:t>od dnia wygaśnięcia aktualnie obowiązującego wsparcia.</w:t>
      </w:r>
    </w:p>
    <w:p w14:paraId="4C848F5C" w14:textId="77777777" w:rsidR="00E53FF7" w:rsidRDefault="00E53FF7" w:rsidP="00293C9B">
      <w:pPr>
        <w:spacing w:line="24" w:lineRule="atLeast"/>
        <w:rPr>
          <w:rFonts w:asciiTheme="minorHAnsi" w:hAnsiTheme="minorHAnsi" w:cstheme="minorHAnsi"/>
          <w:b/>
          <w:sz w:val="22"/>
          <w:szCs w:val="22"/>
          <w:u w:val="single"/>
        </w:rPr>
      </w:pPr>
    </w:p>
    <w:p w14:paraId="63C0E362" w14:textId="0A99E220" w:rsidR="002F4F56" w:rsidRPr="00293C9B" w:rsidRDefault="002F4F56" w:rsidP="00293C9B">
      <w:pPr>
        <w:spacing w:line="24" w:lineRule="atLeast"/>
        <w:rPr>
          <w:rFonts w:asciiTheme="minorHAnsi" w:hAnsiTheme="minorHAnsi" w:cstheme="minorHAnsi"/>
          <w:b/>
          <w:sz w:val="22"/>
          <w:szCs w:val="22"/>
          <w:u w:val="single"/>
        </w:rPr>
      </w:pPr>
      <w:r w:rsidRPr="00293C9B">
        <w:rPr>
          <w:rFonts w:asciiTheme="minorHAnsi" w:hAnsiTheme="minorHAnsi" w:cstheme="minorHAnsi"/>
          <w:b/>
          <w:sz w:val="22"/>
          <w:szCs w:val="22"/>
          <w:u w:val="single"/>
        </w:rPr>
        <w:t>Dodatkowe wymagania do całego (wszystkich części) przedmiotu zamówienia.</w:t>
      </w:r>
    </w:p>
    <w:p w14:paraId="79E00349" w14:textId="0B9D2E81" w:rsidR="002F4F56" w:rsidRPr="00293C9B" w:rsidRDefault="002F4F56" w:rsidP="00293C9B">
      <w:pPr>
        <w:spacing w:line="24" w:lineRule="atLeast"/>
        <w:rPr>
          <w:rFonts w:asciiTheme="minorHAnsi" w:hAnsiTheme="minorHAnsi" w:cstheme="minorHAnsi"/>
          <w:sz w:val="22"/>
          <w:szCs w:val="22"/>
        </w:rPr>
      </w:pPr>
      <w:r w:rsidRPr="00293C9B">
        <w:rPr>
          <w:rFonts w:asciiTheme="minorHAnsi" w:hAnsiTheme="minorHAnsi" w:cstheme="minorHAnsi"/>
          <w:sz w:val="22"/>
          <w:szCs w:val="22"/>
        </w:rPr>
        <w:t>W ramach wsparcia, o którym mowa w pkt. 1 opisu przedmiotu zamówienia Zamawiającemu zostanie zapewnione wsparcie przez autoryzowanego, certyfikowanego przez producenta partnera rozwiązania. Incydenty wymagające interwencji serwisowych Zamawiający będzie mógł zgłosić telefonicznie, drogą mailową lub przez system zgłoszeń (servicedesk) Wykonawcy lub Producenta. Zamawiający otrzyma możliwość korzystania z następujących usług świadczonych przez producenta:</w:t>
      </w:r>
    </w:p>
    <w:p w14:paraId="21EAFBCF"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oprogramowania firmware do najnowszych wersji publikowanych przez producenta,</w:t>
      </w:r>
    </w:p>
    <w:p w14:paraId="4ECB0A71"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wirusów,</w:t>
      </w:r>
    </w:p>
    <w:p w14:paraId="5E5C6D83"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definicji IPS (Intrusion Prevention System),</w:t>
      </w:r>
    </w:p>
    <w:p w14:paraId="1AE219FA"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bazy sygnatur anty-spyware,</w:t>
      </w:r>
    </w:p>
    <w:p w14:paraId="6F0B480F"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aktualizacji sygnatur aplikacji,</w:t>
      </w:r>
    </w:p>
    <w:p w14:paraId="1ED86927"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aktualizacja sygnatur oraz dostęp do środowiska Wildfire,</w:t>
      </w:r>
    </w:p>
    <w:p w14:paraId="6F46C0D3" w14:textId="77777777" w:rsidR="002F4F56" w:rsidRPr="00293C9B" w:rsidRDefault="002F4F56" w:rsidP="00293C9B">
      <w:pPr>
        <w:numPr>
          <w:ilvl w:val="0"/>
          <w:numId w:val="11"/>
        </w:numPr>
        <w:spacing w:line="24" w:lineRule="atLeast"/>
        <w:ind w:left="426"/>
        <w:rPr>
          <w:rFonts w:asciiTheme="minorHAnsi" w:hAnsiTheme="minorHAnsi" w:cstheme="minorHAnsi"/>
          <w:sz w:val="22"/>
          <w:szCs w:val="22"/>
        </w:rPr>
      </w:pPr>
      <w:r w:rsidRPr="00293C9B">
        <w:rPr>
          <w:rFonts w:asciiTheme="minorHAnsi" w:hAnsiTheme="minorHAnsi" w:cstheme="minorHAnsi"/>
          <w:sz w:val="22"/>
          <w:szCs w:val="22"/>
        </w:rPr>
        <w:t>dostępu do baz wiedzy, dokumentacji technicznych, przewodników konfiguracyjnych i narzędzi diagnostycznych.</w:t>
      </w:r>
    </w:p>
    <w:p w14:paraId="08605FAF" w14:textId="5E908B46" w:rsidR="002F4F56" w:rsidRPr="00293C9B" w:rsidRDefault="002F4F56" w:rsidP="00293C9B">
      <w:pPr>
        <w:spacing w:line="24" w:lineRule="atLeast"/>
        <w:rPr>
          <w:rFonts w:asciiTheme="minorHAnsi" w:hAnsiTheme="minorHAnsi" w:cstheme="minorHAnsi"/>
          <w:sz w:val="22"/>
          <w:szCs w:val="22"/>
        </w:rPr>
      </w:pPr>
    </w:p>
    <w:p w14:paraId="26C12304" w14:textId="77777777" w:rsidR="002F4F56" w:rsidRPr="00293C9B" w:rsidRDefault="002F4F56" w:rsidP="00293C9B">
      <w:pPr>
        <w:spacing w:line="24" w:lineRule="atLeast"/>
        <w:jc w:val="both"/>
        <w:rPr>
          <w:rFonts w:asciiTheme="minorHAnsi" w:hAnsiTheme="minorHAnsi" w:cstheme="minorHAnsi"/>
          <w:sz w:val="22"/>
          <w:szCs w:val="22"/>
        </w:rPr>
      </w:pPr>
    </w:p>
    <w:p w14:paraId="5A692040" w14:textId="77777777" w:rsidR="001073F0" w:rsidRPr="00293C9B" w:rsidRDefault="001073F0" w:rsidP="00293C9B">
      <w:pPr>
        <w:spacing w:line="24" w:lineRule="atLeast"/>
        <w:rPr>
          <w:rFonts w:asciiTheme="minorHAnsi" w:hAnsiTheme="minorHAnsi" w:cstheme="minorHAnsi"/>
          <w:sz w:val="22"/>
          <w:szCs w:val="22"/>
        </w:rPr>
      </w:pPr>
    </w:p>
    <w:sectPr w:rsidR="001073F0" w:rsidRPr="00293C9B" w:rsidSect="009A4F88">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49A38" w14:textId="77777777" w:rsidR="008641E4" w:rsidRDefault="008641E4" w:rsidP="00CE5B24">
      <w:r>
        <w:separator/>
      </w:r>
    </w:p>
  </w:endnote>
  <w:endnote w:type="continuationSeparator" w:id="0">
    <w:p w14:paraId="1D31F9DE" w14:textId="77777777" w:rsidR="008641E4" w:rsidRDefault="008641E4" w:rsidP="00CE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Helvetica Neue Light">
    <w:altName w:val="Times New Roman"/>
    <w:charset w:val="00"/>
    <w:family w:val="auto"/>
    <w:pitch w:val="variable"/>
    <w:sig w:usb0="00000001" w:usb1="5000205B" w:usb2="00000002" w:usb3="00000000" w:csb0="00000007"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6545022"/>
      <w:docPartObj>
        <w:docPartGallery w:val="Page Numbers (Bottom of Page)"/>
        <w:docPartUnique/>
      </w:docPartObj>
    </w:sdtPr>
    <w:sdtEndPr>
      <w:rPr>
        <w:i/>
        <w:iCs/>
        <w:sz w:val="18"/>
        <w:szCs w:val="18"/>
      </w:rPr>
    </w:sdtEndPr>
    <w:sdtContent>
      <w:p w14:paraId="3C007B98" w14:textId="77777777" w:rsidR="006E5DA6" w:rsidRPr="00A85F14" w:rsidRDefault="00000000" w:rsidP="003C24BC">
        <w:pPr>
          <w:pStyle w:val="Stopka"/>
          <w:rPr>
            <w:i/>
            <w:iCs/>
            <w:sz w:val="18"/>
            <w:szCs w:val="18"/>
          </w:rPr>
        </w:pPr>
        <w:sdt>
          <w:sdtPr>
            <w:rPr>
              <w:i/>
              <w:iCs/>
              <w:sz w:val="18"/>
              <w:szCs w:val="18"/>
            </w:rPr>
            <w:id w:val="-1705238520"/>
            <w:docPartObj>
              <w:docPartGallery w:val="Page Numbers (Top of Page)"/>
              <w:docPartUnique/>
            </w:docPartObj>
          </w:sdtPr>
          <w:sdtContent>
            <w:r w:rsidR="004D525C" w:rsidRPr="00A85F14">
              <w:rPr>
                <w:b/>
                <w:bCs/>
                <w:i/>
                <w:iCs/>
                <w:sz w:val="18"/>
                <w:szCs w:val="18"/>
              </w:rPr>
              <w:fldChar w:fldCharType="begin"/>
            </w:r>
            <w:r w:rsidR="004D525C" w:rsidRPr="00A85F14">
              <w:rPr>
                <w:b/>
                <w:bCs/>
                <w:i/>
                <w:iCs/>
                <w:sz w:val="18"/>
                <w:szCs w:val="18"/>
              </w:rPr>
              <w:instrText>PAGE</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r w:rsidR="004D525C" w:rsidRPr="00A85F14">
              <w:rPr>
                <w:i/>
                <w:iCs/>
                <w:sz w:val="18"/>
                <w:szCs w:val="18"/>
              </w:rPr>
              <w:t>/</w:t>
            </w:r>
            <w:r w:rsidR="004D525C" w:rsidRPr="00A85F14">
              <w:rPr>
                <w:b/>
                <w:bCs/>
                <w:i/>
                <w:iCs/>
                <w:sz w:val="18"/>
                <w:szCs w:val="18"/>
              </w:rPr>
              <w:fldChar w:fldCharType="begin"/>
            </w:r>
            <w:r w:rsidR="004D525C" w:rsidRPr="00A85F14">
              <w:rPr>
                <w:b/>
                <w:bCs/>
                <w:i/>
                <w:iCs/>
                <w:sz w:val="18"/>
                <w:szCs w:val="18"/>
              </w:rPr>
              <w:instrText>NUMPAGES</w:instrText>
            </w:r>
            <w:r w:rsidR="004D525C" w:rsidRPr="00A85F14">
              <w:rPr>
                <w:b/>
                <w:bCs/>
                <w:i/>
                <w:iCs/>
                <w:sz w:val="18"/>
                <w:szCs w:val="18"/>
              </w:rPr>
              <w:fldChar w:fldCharType="separate"/>
            </w:r>
            <w:r w:rsidR="004D525C" w:rsidRPr="00A85F14">
              <w:rPr>
                <w:b/>
                <w:bCs/>
                <w:i/>
                <w:iCs/>
                <w:sz w:val="18"/>
                <w:szCs w:val="18"/>
              </w:rPr>
              <w:t>2</w:t>
            </w:r>
            <w:r w:rsidR="004D525C" w:rsidRPr="00A85F14">
              <w:rPr>
                <w:b/>
                <w:bCs/>
                <w:i/>
                <w:iCs/>
                <w:sz w:val="18"/>
                <w:szCs w:val="18"/>
              </w:rPr>
              <w:fldChar w:fldCharType="end"/>
            </w:r>
          </w:sdtContent>
        </w:sdt>
      </w:p>
    </w:sdtContent>
  </w:sdt>
  <w:p w14:paraId="79923DC6" w14:textId="77777777" w:rsidR="006E5DA6" w:rsidRDefault="006E5DA6" w:rsidP="00A85F14">
    <w:pPr>
      <w:pStyle w:val="Stopk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9ACCA" w14:textId="77777777" w:rsidR="008641E4" w:rsidRDefault="008641E4" w:rsidP="00CE5B24">
      <w:r>
        <w:separator/>
      </w:r>
    </w:p>
  </w:footnote>
  <w:footnote w:type="continuationSeparator" w:id="0">
    <w:p w14:paraId="23DD3527" w14:textId="77777777" w:rsidR="008641E4" w:rsidRDefault="008641E4" w:rsidP="00CE5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D6C6F308"/>
    <w:lvl w:ilvl="0">
      <w:start w:val="1"/>
      <w:numFmt w:val="decimal"/>
      <w:lvlText w:val="%1)"/>
      <w:lvlJc w:val="left"/>
      <w:pPr>
        <w:ind w:left="851" w:hanging="491"/>
      </w:pPr>
    </w:lvl>
    <w:lvl w:ilvl="1">
      <w:start w:val="2"/>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91366D"/>
    <w:multiLevelType w:val="multilevel"/>
    <w:tmpl w:val="76A061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CD5852"/>
    <w:multiLevelType w:val="multilevel"/>
    <w:tmpl w:val="04C2DB90"/>
    <w:lvl w:ilvl="0">
      <w:start w:val="2"/>
      <w:numFmt w:val="upperRoman"/>
      <w:lvlText w:val="%1."/>
      <w:lvlJc w:val="righ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BD424C"/>
    <w:multiLevelType w:val="multilevel"/>
    <w:tmpl w:val="26F2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061B84"/>
    <w:multiLevelType w:val="hybridMultilevel"/>
    <w:tmpl w:val="D1924568"/>
    <w:lvl w:ilvl="0" w:tplc="445267FE">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33164EE"/>
    <w:multiLevelType w:val="hybridMultilevel"/>
    <w:tmpl w:val="79B6C5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8274328"/>
    <w:multiLevelType w:val="hybridMultilevel"/>
    <w:tmpl w:val="EADA7642"/>
    <w:lvl w:ilvl="0" w:tplc="ADBE015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19616003"/>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7163034"/>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2428F4"/>
    <w:multiLevelType w:val="multilevel"/>
    <w:tmpl w:val="0F42AF5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CD105A"/>
    <w:multiLevelType w:val="multilevel"/>
    <w:tmpl w:val="71264908"/>
    <w:lvl w:ilvl="0">
      <w:start w:val="1"/>
      <w:numFmt w:val="decimal"/>
      <w:lvlText w:val="%1)"/>
      <w:lvlJc w:val="righ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33DB04BF"/>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B805927"/>
    <w:multiLevelType w:val="hybridMultilevel"/>
    <w:tmpl w:val="14988B32"/>
    <w:lvl w:ilvl="0" w:tplc="DE586C6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BC52CA7"/>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4E1CB1"/>
    <w:multiLevelType w:val="hybridMultilevel"/>
    <w:tmpl w:val="4104BF50"/>
    <w:lvl w:ilvl="0" w:tplc="EF6EE77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1CC77C4"/>
    <w:multiLevelType w:val="multilevel"/>
    <w:tmpl w:val="B91255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A218E5"/>
    <w:multiLevelType w:val="hybridMultilevel"/>
    <w:tmpl w:val="46D6D614"/>
    <w:lvl w:ilvl="0" w:tplc="C6F8B7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E991530"/>
    <w:multiLevelType w:val="multilevel"/>
    <w:tmpl w:val="F79A86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18D645D"/>
    <w:multiLevelType w:val="hybridMultilevel"/>
    <w:tmpl w:val="D1A2D696"/>
    <w:lvl w:ilvl="0" w:tplc="CCA2DE90">
      <w:start w:val="1"/>
      <w:numFmt w:val="lowerLetter"/>
      <w:lvlText w:val="%1)"/>
      <w:lvlJc w:val="left"/>
      <w:pPr>
        <w:ind w:left="644" w:hanging="360"/>
      </w:pPr>
      <w:rPr>
        <w:rFonts w:ascii="Calibri" w:eastAsia="Calibri" w:hAnsi="Calibri" w:cs="Calibri"/>
        <w:color w:val="auto"/>
      </w:rPr>
    </w:lvl>
    <w:lvl w:ilvl="1" w:tplc="04150003">
      <w:start w:val="1"/>
      <w:numFmt w:val="bullet"/>
      <w:lvlText w:val="o"/>
      <w:lvlJc w:val="left"/>
      <w:pPr>
        <w:ind w:left="1364" w:hanging="360"/>
      </w:pPr>
      <w:rPr>
        <w:rFonts w:ascii="Courier New" w:hAnsi="Courier New" w:cs="Courier New" w:hint="default"/>
      </w:rPr>
    </w:lvl>
    <w:lvl w:ilvl="2" w:tplc="04150005">
      <w:start w:val="1"/>
      <w:numFmt w:val="bullet"/>
      <w:lvlText w:val=""/>
      <w:lvlJc w:val="left"/>
      <w:pPr>
        <w:ind w:left="2084" w:hanging="360"/>
      </w:pPr>
      <w:rPr>
        <w:rFonts w:ascii="Wingdings" w:hAnsi="Wingdings" w:hint="default"/>
      </w:rPr>
    </w:lvl>
    <w:lvl w:ilvl="3" w:tplc="D944B23E">
      <w:start w:val="1"/>
      <w:numFmt w:val="bullet"/>
      <w:lvlText w:val="−"/>
      <w:lvlJc w:val="left"/>
      <w:pPr>
        <w:ind w:left="2804" w:hanging="360"/>
      </w:pPr>
      <w:rPr>
        <w:rFonts w:ascii="Times New Roman" w:hAnsi="Times New Roman" w:cs="Times New Roman" w:hint="default"/>
        <w:color w:val="auto"/>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9" w15:restartNumberingAfterBreak="0">
    <w:nsid w:val="51BC65A1"/>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8201A8"/>
    <w:multiLevelType w:val="hybridMultilevel"/>
    <w:tmpl w:val="7CE4AC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48F3A57"/>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192681"/>
    <w:multiLevelType w:val="multilevel"/>
    <w:tmpl w:val="0F42AF56"/>
    <w:lvl w:ilvl="0">
      <w:start w:val="1"/>
      <w:numFmt w:val="decimal"/>
      <w:lvlText w:val="%1)"/>
      <w:lvlJc w:val="left"/>
      <w:pPr>
        <w:ind w:left="426" w:hanging="360"/>
      </w:pPr>
    </w:lvl>
    <w:lvl w:ilvl="1">
      <w:start w:val="1"/>
      <w:numFmt w:val="decimal"/>
      <w:lvlText w:val="%2)"/>
      <w:lvlJc w:val="left"/>
      <w:pPr>
        <w:ind w:left="1146" w:hanging="360"/>
      </w:pPr>
    </w:lvl>
    <w:lvl w:ilvl="2">
      <w:start w:val="1"/>
      <w:numFmt w:val="lowerRoman"/>
      <w:lvlText w:val="%3."/>
      <w:lvlJc w:val="right"/>
      <w:pPr>
        <w:ind w:left="1866" w:hanging="180"/>
      </w:pPr>
    </w:lvl>
    <w:lvl w:ilvl="3">
      <w:start w:val="1"/>
      <w:numFmt w:val="decimal"/>
      <w:lvlText w:val="%4."/>
      <w:lvlJc w:val="left"/>
      <w:pPr>
        <w:ind w:left="2586" w:hanging="360"/>
      </w:pPr>
    </w:lvl>
    <w:lvl w:ilvl="4">
      <w:start w:val="1"/>
      <w:numFmt w:val="lowerLetter"/>
      <w:lvlText w:val="%5."/>
      <w:lvlJc w:val="left"/>
      <w:pPr>
        <w:ind w:left="3306" w:hanging="360"/>
      </w:pPr>
    </w:lvl>
    <w:lvl w:ilvl="5">
      <w:start w:val="1"/>
      <w:numFmt w:val="lowerRoman"/>
      <w:lvlText w:val="%6."/>
      <w:lvlJc w:val="right"/>
      <w:pPr>
        <w:ind w:left="4026" w:hanging="180"/>
      </w:pPr>
    </w:lvl>
    <w:lvl w:ilvl="6">
      <w:start w:val="1"/>
      <w:numFmt w:val="decimal"/>
      <w:lvlText w:val="%7."/>
      <w:lvlJc w:val="left"/>
      <w:pPr>
        <w:ind w:left="4746" w:hanging="360"/>
      </w:pPr>
    </w:lvl>
    <w:lvl w:ilvl="7">
      <w:start w:val="1"/>
      <w:numFmt w:val="lowerLetter"/>
      <w:lvlText w:val="%8."/>
      <w:lvlJc w:val="left"/>
      <w:pPr>
        <w:ind w:left="5466" w:hanging="360"/>
      </w:pPr>
    </w:lvl>
    <w:lvl w:ilvl="8">
      <w:start w:val="1"/>
      <w:numFmt w:val="lowerRoman"/>
      <w:lvlText w:val="%9."/>
      <w:lvlJc w:val="right"/>
      <w:pPr>
        <w:ind w:left="6186" w:hanging="180"/>
      </w:pPr>
    </w:lvl>
  </w:abstractNum>
  <w:abstractNum w:abstractNumId="23" w15:restartNumberingAfterBreak="0">
    <w:nsid w:val="59D0473E"/>
    <w:multiLevelType w:val="hybridMultilevel"/>
    <w:tmpl w:val="A2DC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01B3CCE"/>
    <w:multiLevelType w:val="hybridMultilevel"/>
    <w:tmpl w:val="55ECC05A"/>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0444E14"/>
    <w:multiLevelType w:val="hybridMultilevel"/>
    <w:tmpl w:val="9FD2CA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3172E6"/>
    <w:multiLevelType w:val="hybridMultilevel"/>
    <w:tmpl w:val="51605D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61B350E9"/>
    <w:multiLevelType w:val="hybridMultilevel"/>
    <w:tmpl w:val="F128356C"/>
    <w:lvl w:ilvl="0" w:tplc="02CA39D6">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E03701"/>
    <w:multiLevelType w:val="multilevel"/>
    <w:tmpl w:val="AB6E1D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B624CA0"/>
    <w:multiLevelType w:val="hybridMultilevel"/>
    <w:tmpl w:val="D1DC69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BD645FA"/>
    <w:multiLevelType w:val="hybridMultilevel"/>
    <w:tmpl w:val="B1BE3DF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C5431A1"/>
    <w:multiLevelType w:val="multilevel"/>
    <w:tmpl w:val="4F6097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28F2676"/>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8CB58B6"/>
    <w:multiLevelType w:val="multilevel"/>
    <w:tmpl w:val="9580F80A"/>
    <w:lvl w:ilvl="0">
      <w:start w:val="1"/>
      <w:numFmt w:val="decimal"/>
      <w:lvlText w:val="%1)"/>
      <w:lvlJc w:val="left"/>
      <w:pPr>
        <w:ind w:left="720" w:hanging="360"/>
      </w:pPr>
      <w:rPr>
        <w:rFonts w:asciiTheme="minorHAnsi" w:eastAsia="Times New Roman"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98A6445"/>
    <w:multiLevelType w:val="multilevel"/>
    <w:tmpl w:val="EF80B5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BB240E3"/>
    <w:multiLevelType w:val="hybridMultilevel"/>
    <w:tmpl w:val="10B665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C16308A"/>
    <w:multiLevelType w:val="multilevel"/>
    <w:tmpl w:val="D86AD1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285609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77131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2194812">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0332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0327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0469311">
    <w:abstractNumId w:val="26"/>
  </w:num>
  <w:num w:numId="7" w16cid:durableId="1535120103">
    <w:abstractNumId w:val="29"/>
  </w:num>
  <w:num w:numId="8" w16cid:durableId="16387292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1116261">
    <w:abstractNumId w:val="5"/>
  </w:num>
  <w:num w:numId="10" w16cid:durableId="17868455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80554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6509098">
    <w:abstractNumId w:val="1"/>
  </w:num>
  <w:num w:numId="13" w16cid:durableId="1227959655">
    <w:abstractNumId w:val="36"/>
  </w:num>
  <w:num w:numId="14" w16cid:durableId="1800683027">
    <w:abstractNumId w:val="15"/>
  </w:num>
  <w:num w:numId="15" w16cid:durableId="1102186493">
    <w:abstractNumId w:val="31"/>
  </w:num>
  <w:num w:numId="16" w16cid:durableId="167839460">
    <w:abstractNumId w:val="2"/>
  </w:num>
  <w:num w:numId="17" w16cid:durableId="353726037">
    <w:abstractNumId w:val="9"/>
  </w:num>
  <w:num w:numId="18" w16cid:durableId="8608691">
    <w:abstractNumId w:val="3"/>
  </w:num>
  <w:num w:numId="19" w16cid:durableId="900020421">
    <w:abstractNumId w:val="25"/>
  </w:num>
  <w:num w:numId="20" w16cid:durableId="1957322992">
    <w:abstractNumId w:val="34"/>
  </w:num>
  <w:num w:numId="21" w16cid:durableId="2123957385">
    <w:abstractNumId w:val="22"/>
  </w:num>
  <w:num w:numId="22" w16cid:durableId="2051686069">
    <w:abstractNumId w:val="18"/>
  </w:num>
  <w:num w:numId="23" w16cid:durableId="476998878">
    <w:abstractNumId w:val="4"/>
  </w:num>
  <w:num w:numId="24" w16cid:durableId="1824858466">
    <w:abstractNumId w:val="27"/>
  </w:num>
  <w:num w:numId="25" w16cid:durableId="495145171">
    <w:abstractNumId w:val="5"/>
  </w:num>
  <w:num w:numId="26" w16cid:durableId="1400402621">
    <w:abstractNumId w:val="20"/>
  </w:num>
  <w:num w:numId="27" w16cid:durableId="272056553">
    <w:abstractNumId w:val="13"/>
  </w:num>
  <w:num w:numId="28" w16cid:durableId="1460566063">
    <w:abstractNumId w:val="35"/>
  </w:num>
  <w:num w:numId="29" w16cid:durableId="2031444620">
    <w:abstractNumId w:val="10"/>
  </w:num>
  <w:num w:numId="30" w16cid:durableId="1392381851">
    <w:abstractNumId w:val="19"/>
  </w:num>
  <w:num w:numId="31" w16cid:durableId="1269922636">
    <w:abstractNumId w:val="32"/>
  </w:num>
  <w:num w:numId="32" w16cid:durableId="747531990">
    <w:abstractNumId w:val="8"/>
  </w:num>
  <w:num w:numId="33" w16cid:durableId="1637569100">
    <w:abstractNumId w:val="33"/>
  </w:num>
  <w:num w:numId="34" w16cid:durableId="67189634">
    <w:abstractNumId w:val="21"/>
  </w:num>
  <w:num w:numId="35" w16cid:durableId="2009095707">
    <w:abstractNumId w:val="7"/>
  </w:num>
  <w:num w:numId="36" w16cid:durableId="765031660">
    <w:abstractNumId w:val="12"/>
  </w:num>
  <w:num w:numId="37" w16cid:durableId="297103557">
    <w:abstractNumId w:val="14"/>
  </w:num>
  <w:num w:numId="38" w16cid:durableId="2226400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80C"/>
    <w:rsid w:val="00036A37"/>
    <w:rsid w:val="0007155C"/>
    <w:rsid w:val="00095CC4"/>
    <w:rsid w:val="000A3E33"/>
    <w:rsid w:val="000A503A"/>
    <w:rsid w:val="000D2AFD"/>
    <w:rsid w:val="001073F0"/>
    <w:rsid w:val="00111EE2"/>
    <w:rsid w:val="0011625F"/>
    <w:rsid w:val="00163420"/>
    <w:rsid w:val="00184CFC"/>
    <w:rsid w:val="001B086F"/>
    <w:rsid w:val="001D16F1"/>
    <w:rsid w:val="001E0E45"/>
    <w:rsid w:val="002476DA"/>
    <w:rsid w:val="002647D3"/>
    <w:rsid w:val="002707A3"/>
    <w:rsid w:val="00293C9B"/>
    <w:rsid w:val="002F4F56"/>
    <w:rsid w:val="0031233C"/>
    <w:rsid w:val="00312864"/>
    <w:rsid w:val="00327F44"/>
    <w:rsid w:val="00364C7E"/>
    <w:rsid w:val="003751C7"/>
    <w:rsid w:val="00382668"/>
    <w:rsid w:val="003B7EEF"/>
    <w:rsid w:val="003D2F6C"/>
    <w:rsid w:val="003E3F9B"/>
    <w:rsid w:val="004073C1"/>
    <w:rsid w:val="00425406"/>
    <w:rsid w:val="00451896"/>
    <w:rsid w:val="0045715E"/>
    <w:rsid w:val="00463ADD"/>
    <w:rsid w:val="004712F5"/>
    <w:rsid w:val="004742F9"/>
    <w:rsid w:val="004C05C7"/>
    <w:rsid w:val="004C4FE4"/>
    <w:rsid w:val="004D525C"/>
    <w:rsid w:val="0051031D"/>
    <w:rsid w:val="005A5730"/>
    <w:rsid w:val="005C618C"/>
    <w:rsid w:val="005F3934"/>
    <w:rsid w:val="00625ED1"/>
    <w:rsid w:val="00642703"/>
    <w:rsid w:val="00645567"/>
    <w:rsid w:val="0069140E"/>
    <w:rsid w:val="006A4D96"/>
    <w:rsid w:val="006C072E"/>
    <w:rsid w:val="006E5DA6"/>
    <w:rsid w:val="007153CD"/>
    <w:rsid w:val="00735CA8"/>
    <w:rsid w:val="00753599"/>
    <w:rsid w:val="007646A4"/>
    <w:rsid w:val="007C08A9"/>
    <w:rsid w:val="007E4E11"/>
    <w:rsid w:val="00816CAB"/>
    <w:rsid w:val="00862ECE"/>
    <w:rsid w:val="008641E4"/>
    <w:rsid w:val="00880E28"/>
    <w:rsid w:val="00885D02"/>
    <w:rsid w:val="008917FB"/>
    <w:rsid w:val="00894BFE"/>
    <w:rsid w:val="008A317B"/>
    <w:rsid w:val="008B52B1"/>
    <w:rsid w:val="008F5AED"/>
    <w:rsid w:val="00903779"/>
    <w:rsid w:val="009120D4"/>
    <w:rsid w:val="00920515"/>
    <w:rsid w:val="0092329A"/>
    <w:rsid w:val="00957A10"/>
    <w:rsid w:val="00961550"/>
    <w:rsid w:val="00966F75"/>
    <w:rsid w:val="00974EB5"/>
    <w:rsid w:val="009B3A78"/>
    <w:rsid w:val="009C380C"/>
    <w:rsid w:val="009D0444"/>
    <w:rsid w:val="00A0194B"/>
    <w:rsid w:val="00A26E84"/>
    <w:rsid w:val="00A305F8"/>
    <w:rsid w:val="00A50BC4"/>
    <w:rsid w:val="00AA36E4"/>
    <w:rsid w:val="00AD0908"/>
    <w:rsid w:val="00AD78D1"/>
    <w:rsid w:val="00AE3C16"/>
    <w:rsid w:val="00AF41C4"/>
    <w:rsid w:val="00B11D0B"/>
    <w:rsid w:val="00B133B9"/>
    <w:rsid w:val="00B669FC"/>
    <w:rsid w:val="00B73DBE"/>
    <w:rsid w:val="00B92AED"/>
    <w:rsid w:val="00BA0A0C"/>
    <w:rsid w:val="00BA40B7"/>
    <w:rsid w:val="00C22904"/>
    <w:rsid w:val="00C24695"/>
    <w:rsid w:val="00C42FB0"/>
    <w:rsid w:val="00C87BF8"/>
    <w:rsid w:val="00CC01EA"/>
    <w:rsid w:val="00CD2F25"/>
    <w:rsid w:val="00CE5B24"/>
    <w:rsid w:val="00CF558E"/>
    <w:rsid w:val="00D00741"/>
    <w:rsid w:val="00D40E99"/>
    <w:rsid w:val="00D743BD"/>
    <w:rsid w:val="00DD7C77"/>
    <w:rsid w:val="00E24741"/>
    <w:rsid w:val="00E24F04"/>
    <w:rsid w:val="00E53FF7"/>
    <w:rsid w:val="00E563DC"/>
    <w:rsid w:val="00E6103C"/>
    <w:rsid w:val="00E63316"/>
    <w:rsid w:val="00E6570B"/>
    <w:rsid w:val="00EB1191"/>
    <w:rsid w:val="00F2372F"/>
    <w:rsid w:val="00F3559C"/>
    <w:rsid w:val="00F41531"/>
    <w:rsid w:val="00F5510D"/>
    <w:rsid w:val="00F573B1"/>
    <w:rsid w:val="00F645CC"/>
    <w:rsid w:val="00F75BB4"/>
    <w:rsid w:val="00FE565E"/>
    <w:rsid w:val="00FF20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A02190"/>
  <w15:chartTrackingRefBased/>
  <w15:docId w15:val="{BF8512C4-7CA3-4644-972F-7DDF7961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rPr>
  </w:style>
  <w:style w:type="paragraph" w:styleId="Nagwek1">
    <w:name w:val="heading 1"/>
    <w:basedOn w:val="Normalny"/>
    <w:next w:val="Normalny"/>
    <w:qFormat/>
    <w:pPr>
      <w:keepNext/>
      <w:jc w:val="center"/>
      <w:outlineLvl w:val="0"/>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567"/>
    </w:pPr>
  </w:style>
  <w:style w:type="character" w:styleId="Hipercze">
    <w:name w:val="Hyperlink"/>
    <w:rsid w:val="00382668"/>
    <w:rPr>
      <w:color w:val="0563C1"/>
      <w:u w:val="single"/>
    </w:rPr>
  </w:style>
  <w:style w:type="character" w:styleId="Nierozpoznanawzmianka">
    <w:name w:val="Unresolved Mention"/>
    <w:uiPriority w:val="99"/>
    <w:semiHidden/>
    <w:unhideWhenUsed/>
    <w:rsid w:val="00382668"/>
    <w:rPr>
      <w:color w:val="605E5C"/>
      <w:shd w:val="clear" w:color="auto" w:fill="E1DFDD"/>
    </w:rPr>
  </w:style>
  <w:style w:type="paragraph" w:styleId="Nagwek">
    <w:name w:val="header"/>
    <w:basedOn w:val="Normalny"/>
    <w:link w:val="NagwekZnak"/>
    <w:uiPriority w:val="99"/>
    <w:rsid w:val="00CE5B24"/>
    <w:pPr>
      <w:tabs>
        <w:tab w:val="center" w:pos="4536"/>
        <w:tab w:val="right" w:pos="9072"/>
      </w:tabs>
    </w:pPr>
  </w:style>
  <w:style w:type="character" w:customStyle="1" w:styleId="NagwekZnak">
    <w:name w:val="Nagłówek Znak"/>
    <w:link w:val="Nagwek"/>
    <w:uiPriority w:val="99"/>
    <w:rsid w:val="00CE5B24"/>
    <w:rPr>
      <w:sz w:val="24"/>
    </w:rPr>
  </w:style>
  <w:style w:type="paragraph" w:styleId="Stopka">
    <w:name w:val="footer"/>
    <w:basedOn w:val="Normalny"/>
    <w:link w:val="StopkaZnak"/>
    <w:uiPriority w:val="99"/>
    <w:rsid w:val="00CE5B24"/>
    <w:pPr>
      <w:tabs>
        <w:tab w:val="center" w:pos="4536"/>
        <w:tab w:val="right" w:pos="9072"/>
      </w:tabs>
    </w:pPr>
  </w:style>
  <w:style w:type="character" w:customStyle="1" w:styleId="StopkaZnak">
    <w:name w:val="Stopka Znak"/>
    <w:link w:val="Stopka"/>
    <w:uiPriority w:val="99"/>
    <w:rsid w:val="00CE5B24"/>
    <w:rPr>
      <w:sz w:val="24"/>
    </w:rPr>
  </w:style>
  <w:style w:type="paragraph" w:styleId="Akapitzlist">
    <w:name w:val="List Paragraph"/>
    <w:aliases w:val="2 heading,A_wyliczenie,K-P_odwolanie,maz_wyliczenie,opis dzialania,Kolorowa lista — akcent 11,normalny tekst,Akapit z listą BS,CW_Lista,Colorful List Accent 1,List Paragraph,wypunktowanie"/>
    <w:basedOn w:val="Normalny"/>
    <w:link w:val="AkapitzlistZnak"/>
    <w:uiPriority w:val="34"/>
    <w:qFormat/>
    <w:rsid w:val="00A50BC4"/>
    <w:pPr>
      <w:spacing w:after="160" w:line="252" w:lineRule="auto"/>
      <w:ind w:left="720"/>
      <w:contextualSpacing/>
    </w:pPr>
    <w:rPr>
      <w:rFonts w:ascii="Calibri" w:eastAsia="Calibri" w:hAnsi="Calibri"/>
      <w:sz w:val="22"/>
      <w:szCs w:val="22"/>
      <w:lang w:eastAsia="en-US"/>
    </w:rPr>
  </w:style>
  <w:style w:type="paragraph" w:customStyle="1" w:styleId="Akapitzlist1">
    <w:name w:val="Akapit z listą1"/>
    <w:basedOn w:val="Normalny"/>
    <w:uiPriority w:val="99"/>
    <w:qFormat/>
    <w:rsid w:val="00A50BC4"/>
    <w:pPr>
      <w:widowControl w:val="0"/>
      <w:suppressAutoHyphens/>
    </w:pPr>
    <w:rPr>
      <w:rFonts w:eastAsia="SimSun" w:cs="Arial"/>
      <w:kern w:val="2"/>
      <w:szCs w:val="24"/>
      <w:lang w:eastAsia="hi-IN" w:bidi="hi-IN"/>
    </w:rPr>
  </w:style>
  <w:style w:type="table" w:styleId="Tabela-Siatka">
    <w:name w:val="Table Grid"/>
    <w:basedOn w:val="Standardowy"/>
    <w:uiPriority w:val="39"/>
    <w:rsid w:val="001073F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2 heading Znak,A_wyliczenie Znak,K-P_odwolanie Znak,maz_wyliczenie Znak,opis dzialania Znak,Kolorowa lista — akcent 11 Znak,normalny tekst Znak,Akapit z listą BS Znak,CW_Lista Znak,Colorful List Accent 1 Znak,List Paragraph Znak"/>
    <w:link w:val="Akapitzlist"/>
    <w:uiPriority w:val="34"/>
    <w:qFormat/>
    <w:rsid w:val="002F4F56"/>
    <w:rPr>
      <w:rFonts w:ascii="Calibri" w:eastAsia="Calibri" w:hAnsi="Calibri"/>
      <w:sz w:val="22"/>
      <w:szCs w:val="22"/>
      <w:lang w:eastAsia="en-US"/>
    </w:rPr>
  </w:style>
  <w:style w:type="paragraph" w:styleId="Bezodstpw">
    <w:name w:val="No Spacing"/>
    <w:uiPriority w:val="1"/>
    <w:qFormat/>
    <w:rsid w:val="002F4F56"/>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161082">
      <w:bodyDiv w:val="1"/>
      <w:marLeft w:val="0"/>
      <w:marRight w:val="0"/>
      <w:marTop w:val="0"/>
      <w:marBottom w:val="0"/>
      <w:divBdr>
        <w:top w:val="none" w:sz="0" w:space="0" w:color="auto"/>
        <w:left w:val="none" w:sz="0" w:space="0" w:color="auto"/>
        <w:bottom w:val="none" w:sz="0" w:space="0" w:color="auto"/>
        <w:right w:val="none" w:sz="0" w:space="0" w:color="auto"/>
      </w:divBdr>
    </w:div>
    <w:div w:id="365064455">
      <w:bodyDiv w:val="1"/>
      <w:marLeft w:val="0"/>
      <w:marRight w:val="0"/>
      <w:marTop w:val="0"/>
      <w:marBottom w:val="0"/>
      <w:divBdr>
        <w:top w:val="none" w:sz="0" w:space="0" w:color="auto"/>
        <w:left w:val="none" w:sz="0" w:space="0" w:color="auto"/>
        <w:bottom w:val="none" w:sz="0" w:space="0" w:color="auto"/>
        <w:right w:val="none" w:sz="0" w:space="0" w:color="auto"/>
      </w:divBdr>
    </w:div>
    <w:div w:id="1857425760">
      <w:bodyDiv w:val="1"/>
      <w:marLeft w:val="0"/>
      <w:marRight w:val="0"/>
      <w:marTop w:val="0"/>
      <w:marBottom w:val="0"/>
      <w:divBdr>
        <w:top w:val="none" w:sz="0" w:space="0" w:color="auto"/>
        <w:left w:val="none" w:sz="0" w:space="0" w:color="auto"/>
        <w:bottom w:val="none" w:sz="0" w:space="0" w:color="auto"/>
        <w:right w:val="none" w:sz="0" w:space="0" w:color="auto"/>
      </w:divBdr>
    </w:div>
    <w:div w:id="188016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wa\adm\sawa.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A0C98-4131-4C32-BAE6-943690F9D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sawa.dot</Template>
  <TotalTime>1217</TotalTime>
  <Pages>9</Pages>
  <Words>3343</Words>
  <Characters>20058</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cp:keywords/>
  <cp:lastModifiedBy>Radosław Świsłocki</cp:lastModifiedBy>
  <cp:revision>7</cp:revision>
  <cp:lastPrinted>2021-01-05T08:45:00Z</cp:lastPrinted>
  <dcterms:created xsi:type="dcterms:W3CDTF">2025-07-08T11:01:00Z</dcterms:created>
  <dcterms:modified xsi:type="dcterms:W3CDTF">2025-07-09T08:16:00Z</dcterms:modified>
</cp:coreProperties>
</file>