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4294" w:rsidRDefault="00D67304">
      <w:pPr>
        <w:spacing w:after="0" w:line="360" w:lineRule="auto"/>
        <w:jc w:val="center"/>
        <w:rPr>
          <w:rFonts w:cstheme="minorHAnsi"/>
          <w:w w:val="110"/>
          <w:sz w:val="28"/>
        </w:rPr>
      </w:pPr>
      <w:bookmarkStart w:id="0" w:name="_GoBack"/>
      <w:bookmarkEnd w:id="0"/>
      <w:r>
        <w:rPr>
          <w:rFonts w:cstheme="minorHAnsi"/>
          <w:w w:val="110"/>
          <w:sz w:val="28"/>
        </w:rPr>
        <w:t>OPIS PRZEDMIOTU ZAMÓWIENIA</w:t>
      </w:r>
    </w:p>
    <w:p w:rsidR="008A4294" w:rsidRDefault="00D67304">
      <w:pPr>
        <w:spacing w:after="0" w:line="360" w:lineRule="auto"/>
        <w:jc w:val="center"/>
        <w:rPr>
          <w:rFonts w:cstheme="minorHAnsi"/>
          <w:w w:val="110"/>
          <w:sz w:val="28"/>
        </w:rPr>
      </w:pPr>
      <w:r>
        <w:rPr>
          <w:rFonts w:cstheme="minorHAnsi"/>
          <w:w w:val="110"/>
          <w:sz w:val="28"/>
        </w:rPr>
        <w:t>„Dostawa przełączników sieciowych, macierzy dyskowej i bibliotek taśmowych na potrzeby sądów apelacji białostockiej”</w:t>
      </w:r>
    </w:p>
    <w:p w:rsidR="008A4294" w:rsidRDefault="008A4294">
      <w:pPr>
        <w:spacing w:after="0" w:line="360" w:lineRule="auto"/>
        <w:jc w:val="center"/>
        <w:rPr>
          <w:rFonts w:cstheme="minorHAnsi"/>
          <w:w w:val="110"/>
        </w:rPr>
      </w:pPr>
    </w:p>
    <w:p w:rsidR="008A4294" w:rsidRDefault="00D67304">
      <w:pPr>
        <w:pStyle w:val="Akapitzlist"/>
        <w:numPr>
          <w:ilvl w:val="0"/>
          <w:numId w:val="1"/>
        </w:numPr>
        <w:spacing w:after="0" w:line="360" w:lineRule="auto"/>
        <w:ind w:left="567" w:hanging="567"/>
        <w:jc w:val="both"/>
        <w:rPr>
          <w:rFonts w:cstheme="minorHAnsi"/>
          <w:b/>
          <w:sz w:val="24"/>
          <w:szCs w:val="20"/>
        </w:rPr>
      </w:pPr>
      <w:r>
        <w:rPr>
          <w:rFonts w:cstheme="minorHAnsi"/>
          <w:b/>
          <w:sz w:val="24"/>
          <w:szCs w:val="20"/>
        </w:rPr>
        <w:t>Przedmiot zamówienia</w:t>
      </w:r>
    </w:p>
    <w:p w:rsidR="008A4294" w:rsidRDefault="00D67304">
      <w:pPr>
        <w:pStyle w:val="Akapitzlist"/>
        <w:numPr>
          <w:ilvl w:val="0"/>
          <w:numId w:val="2"/>
        </w:numPr>
        <w:spacing w:before="120" w:after="0" w:line="360" w:lineRule="auto"/>
        <w:jc w:val="both"/>
        <w:rPr>
          <w:rFonts w:cstheme="minorHAnsi"/>
          <w:sz w:val="24"/>
          <w:szCs w:val="24"/>
        </w:rPr>
      </w:pPr>
      <w:r>
        <w:rPr>
          <w:rFonts w:cstheme="minorHAnsi"/>
          <w:sz w:val="24"/>
          <w:szCs w:val="24"/>
        </w:rPr>
        <w:t>Przedmiotem zamówienia jest Dostawa przełączników sieciowych, macierzy dyskowej i bibliotek taśmowych na potrzeby sądów apelacji białostockiej.</w:t>
      </w:r>
    </w:p>
    <w:p w:rsidR="008A4294" w:rsidRDefault="00D67304">
      <w:pPr>
        <w:pStyle w:val="Akapitzlist"/>
        <w:numPr>
          <w:ilvl w:val="0"/>
          <w:numId w:val="2"/>
        </w:numPr>
        <w:spacing w:before="120" w:after="0" w:line="360" w:lineRule="auto"/>
        <w:ind w:left="641" w:hanging="357"/>
        <w:jc w:val="both"/>
        <w:rPr>
          <w:rFonts w:cstheme="minorHAnsi"/>
          <w:sz w:val="24"/>
          <w:szCs w:val="24"/>
        </w:rPr>
      </w:pPr>
      <w:r>
        <w:rPr>
          <w:rFonts w:cstheme="minorHAnsi"/>
          <w:sz w:val="24"/>
          <w:szCs w:val="24"/>
        </w:rPr>
        <w:t>W zakres przedmiotu zamówienia wchodzą:</w:t>
      </w:r>
    </w:p>
    <w:p w:rsidR="008A4294" w:rsidRDefault="00D67304">
      <w:pPr>
        <w:pStyle w:val="Akapitzlist1"/>
        <w:numPr>
          <w:ilvl w:val="0"/>
          <w:numId w:val="3"/>
        </w:numPr>
        <w:spacing w:line="360" w:lineRule="auto"/>
        <w:jc w:val="both"/>
        <w:rPr>
          <w:rFonts w:asciiTheme="minorHAnsi" w:hAnsiTheme="minorHAnsi" w:cstheme="minorHAnsi"/>
        </w:rPr>
      </w:pPr>
      <w:r>
        <w:rPr>
          <w:rFonts w:asciiTheme="minorHAnsi" w:hAnsiTheme="minorHAnsi"/>
          <w:lang w:eastAsia="pl-PL"/>
        </w:rPr>
        <w:t xml:space="preserve">Przełącznik sieciowy zarządzalny desktop L2 – </w:t>
      </w:r>
      <w:r>
        <w:rPr>
          <w:rFonts w:asciiTheme="minorHAnsi" w:hAnsiTheme="minorHAnsi"/>
          <w:b/>
          <w:lang w:eastAsia="pl-PL"/>
        </w:rPr>
        <w:t>21</w:t>
      </w:r>
      <w:r>
        <w:rPr>
          <w:rFonts w:asciiTheme="minorHAnsi" w:hAnsiTheme="minorHAnsi"/>
          <w:lang w:eastAsia="pl-PL"/>
        </w:rPr>
        <w:t xml:space="preserve"> </w:t>
      </w:r>
      <w:r>
        <w:rPr>
          <w:rFonts w:asciiTheme="minorHAnsi" w:hAnsiTheme="minorHAnsi"/>
          <w:b/>
          <w:lang w:eastAsia="pl-PL"/>
        </w:rPr>
        <w:t>szt.</w:t>
      </w:r>
      <w:r>
        <w:rPr>
          <w:rFonts w:asciiTheme="minorHAnsi" w:hAnsiTheme="minorHAnsi"/>
          <w:lang w:eastAsia="pl-PL"/>
        </w:rPr>
        <w:t xml:space="preserve"> wraz z gwarancją producenta przez okres minimum 36 miesięcy</w:t>
      </w:r>
      <w:r>
        <w:rPr>
          <w:rFonts w:asciiTheme="minorHAnsi" w:hAnsiTheme="minorHAnsi" w:cstheme="minorHAnsi"/>
        </w:rPr>
        <w:t>;</w:t>
      </w:r>
    </w:p>
    <w:p w:rsidR="008A4294" w:rsidRDefault="00D67304">
      <w:pPr>
        <w:pStyle w:val="Akapitzlist1"/>
        <w:numPr>
          <w:ilvl w:val="0"/>
          <w:numId w:val="3"/>
        </w:numPr>
        <w:spacing w:line="360" w:lineRule="auto"/>
        <w:jc w:val="both"/>
        <w:rPr>
          <w:rFonts w:asciiTheme="minorHAnsi" w:hAnsiTheme="minorHAnsi" w:cstheme="minorHAnsi"/>
        </w:rPr>
      </w:pPr>
      <w:r>
        <w:rPr>
          <w:rFonts w:asciiTheme="minorHAnsi" w:hAnsiTheme="minorHAnsi" w:cstheme="minorHAnsi"/>
        </w:rPr>
        <w:t xml:space="preserve">Przełącznik sieciowy zarządzalny rack L2 z PoE – </w:t>
      </w:r>
      <w:r>
        <w:rPr>
          <w:rFonts w:asciiTheme="minorHAnsi" w:hAnsiTheme="minorHAnsi" w:cstheme="minorHAnsi"/>
          <w:b/>
        </w:rPr>
        <w:t>27 szt.</w:t>
      </w:r>
      <w:r>
        <w:rPr>
          <w:rFonts w:asciiTheme="minorHAnsi" w:hAnsiTheme="minorHAnsi" w:cstheme="minorHAnsi"/>
        </w:rPr>
        <w:t xml:space="preserve"> </w:t>
      </w:r>
      <w:r>
        <w:rPr>
          <w:rFonts w:asciiTheme="minorHAnsi" w:hAnsiTheme="minorHAnsi"/>
          <w:lang w:eastAsia="pl-PL"/>
        </w:rPr>
        <w:t>wraz z gwarancją producenta przez okres minimum 36 miesięcy</w:t>
      </w:r>
      <w:r>
        <w:rPr>
          <w:rFonts w:asciiTheme="minorHAnsi" w:hAnsiTheme="minorHAnsi" w:cstheme="minorHAnsi"/>
        </w:rPr>
        <w:t xml:space="preserve">; </w:t>
      </w:r>
    </w:p>
    <w:p w:rsidR="008A4294" w:rsidRDefault="00D67304">
      <w:pPr>
        <w:pStyle w:val="Akapitzlist1"/>
        <w:numPr>
          <w:ilvl w:val="0"/>
          <w:numId w:val="3"/>
        </w:numPr>
        <w:spacing w:line="360" w:lineRule="auto"/>
        <w:jc w:val="both"/>
        <w:rPr>
          <w:rFonts w:asciiTheme="minorHAnsi" w:hAnsiTheme="minorHAnsi" w:cstheme="minorHAnsi"/>
        </w:rPr>
      </w:pPr>
      <w:r>
        <w:rPr>
          <w:rFonts w:asciiTheme="minorHAnsi" w:hAnsiTheme="minorHAnsi" w:cstheme="minorHAnsi"/>
        </w:rPr>
        <w:t xml:space="preserve">Macierz dyskowa do montażu w szafie rack. – </w:t>
      </w:r>
      <w:r>
        <w:rPr>
          <w:rFonts w:asciiTheme="minorHAnsi" w:hAnsiTheme="minorHAnsi" w:cstheme="minorHAnsi"/>
          <w:b/>
        </w:rPr>
        <w:t>1</w:t>
      </w:r>
      <w:r>
        <w:rPr>
          <w:rFonts w:asciiTheme="minorHAnsi" w:hAnsiTheme="minorHAnsi" w:cstheme="minorHAnsi"/>
        </w:rPr>
        <w:t xml:space="preserve"> </w:t>
      </w:r>
      <w:r>
        <w:rPr>
          <w:rFonts w:asciiTheme="minorHAnsi" w:hAnsiTheme="minorHAnsi" w:cstheme="minorHAnsi"/>
          <w:b/>
        </w:rPr>
        <w:t>szt.</w:t>
      </w:r>
      <w:r>
        <w:rPr>
          <w:rFonts w:asciiTheme="minorHAnsi" w:hAnsiTheme="minorHAnsi" w:cstheme="minorHAnsi"/>
        </w:rPr>
        <w:t xml:space="preserve"> </w:t>
      </w:r>
      <w:r>
        <w:rPr>
          <w:rFonts w:asciiTheme="minorHAnsi" w:hAnsiTheme="minorHAnsi"/>
          <w:lang w:eastAsia="pl-PL"/>
        </w:rPr>
        <w:t>wraz z gwarancją producenta przez okres minimum 60 miesięcy;</w:t>
      </w:r>
    </w:p>
    <w:p w:rsidR="008A4294" w:rsidRDefault="00D67304">
      <w:pPr>
        <w:pStyle w:val="Akapitzlist1"/>
        <w:numPr>
          <w:ilvl w:val="0"/>
          <w:numId w:val="3"/>
        </w:numPr>
        <w:spacing w:line="360" w:lineRule="auto"/>
        <w:jc w:val="both"/>
        <w:rPr>
          <w:rFonts w:asciiTheme="minorHAnsi" w:hAnsiTheme="minorHAnsi" w:cstheme="minorHAnsi"/>
        </w:rPr>
      </w:pPr>
      <w:r>
        <w:rPr>
          <w:rFonts w:asciiTheme="minorHAnsi" w:hAnsiTheme="minorHAnsi" w:cstheme="minorHAnsi"/>
        </w:rPr>
        <w:t xml:space="preserve">Biblioteka taśmowa do montażu w szafie rack – </w:t>
      </w:r>
      <w:r>
        <w:rPr>
          <w:rFonts w:asciiTheme="minorHAnsi" w:hAnsiTheme="minorHAnsi" w:cstheme="minorHAnsi"/>
          <w:b/>
        </w:rPr>
        <w:t xml:space="preserve">2 szt. </w:t>
      </w:r>
      <w:r>
        <w:rPr>
          <w:rFonts w:asciiTheme="minorHAnsi" w:hAnsiTheme="minorHAnsi"/>
          <w:lang w:eastAsia="pl-PL"/>
        </w:rPr>
        <w:t>wraz z gwarancją producenta przez okres minimum 36 miesięcy</w:t>
      </w:r>
      <w:r>
        <w:rPr>
          <w:rFonts w:asciiTheme="minorHAnsi" w:hAnsiTheme="minorHAnsi" w:cstheme="minorHAnsi"/>
        </w:rPr>
        <w:t>;</w:t>
      </w:r>
    </w:p>
    <w:p w:rsidR="00C253DF" w:rsidRDefault="00D67304">
      <w:pPr>
        <w:pStyle w:val="Akapitzlist"/>
        <w:numPr>
          <w:ilvl w:val="0"/>
          <w:numId w:val="1"/>
        </w:numPr>
        <w:spacing w:after="0" w:line="360" w:lineRule="auto"/>
        <w:ind w:left="709"/>
        <w:jc w:val="both"/>
        <w:rPr>
          <w:rFonts w:cstheme="minorHAnsi"/>
          <w:b/>
          <w:sz w:val="24"/>
          <w:szCs w:val="20"/>
        </w:rPr>
      </w:pPr>
      <w:r>
        <w:rPr>
          <w:rFonts w:cstheme="minorHAnsi"/>
          <w:b/>
          <w:sz w:val="24"/>
          <w:szCs w:val="20"/>
        </w:rPr>
        <w:t xml:space="preserve">Wymagania </w:t>
      </w:r>
      <w:r w:rsidR="00C253DF">
        <w:rPr>
          <w:rFonts w:cstheme="minorHAnsi"/>
          <w:b/>
          <w:sz w:val="24"/>
          <w:szCs w:val="20"/>
        </w:rPr>
        <w:t>minimalne oferowanego sprzętu</w:t>
      </w:r>
    </w:p>
    <w:p w:rsidR="008A4294" w:rsidRDefault="00C253DF" w:rsidP="00C253DF">
      <w:pPr>
        <w:pStyle w:val="Akapitzlist"/>
        <w:spacing w:after="0" w:line="360" w:lineRule="auto"/>
        <w:ind w:left="142"/>
        <w:jc w:val="both"/>
        <w:rPr>
          <w:rFonts w:cstheme="minorHAnsi"/>
          <w:b/>
          <w:sz w:val="24"/>
          <w:szCs w:val="20"/>
        </w:rPr>
      </w:pPr>
      <w:r>
        <w:rPr>
          <w:rFonts w:cstheme="minorHAnsi"/>
          <w:b/>
          <w:sz w:val="24"/>
          <w:szCs w:val="20"/>
        </w:rPr>
        <w:t>Część I - P</w:t>
      </w:r>
      <w:r w:rsidR="00D67304">
        <w:rPr>
          <w:rFonts w:cstheme="minorHAnsi"/>
          <w:b/>
          <w:sz w:val="24"/>
          <w:szCs w:val="20"/>
        </w:rPr>
        <w:t>rzełącznik sieciow</w:t>
      </w:r>
      <w:r>
        <w:rPr>
          <w:rFonts w:cstheme="minorHAnsi"/>
          <w:b/>
          <w:sz w:val="24"/>
          <w:szCs w:val="20"/>
        </w:rPr>
        <w:t>y</w:t>
      </w:r>
      <w:r w:rsidR="00D67304">
        <w:rPr>
          <w:rFonts w:cstheme="minorHAnsi"/>
          <w:b/>
          <w:sz w:val="24"/>
          <w:szCs w:val="20"/>
        </w:rPr>
        <w:t xml:space="preserve"> zarządzal</w:t>
      </w:r>
      <w:r>
        <w:rPr>
          <w:rFonts w:cstheme="minorHAnsi"/>
          <w:b/>
          <w:sz w:val="24"/>
          <w:szCs w:val="20"/>
        </w:rPr>
        <w:t>ny</w:t>
      </w:r>
      <w:r w:rsidR="00D67304">
        <w:rPr>
          <w:rFonts w:cstheme="minorHAnsi"/>
          <w:b/>
          <w:sz w:val="24"/>
          <w:szCs w:val="20"/>
        </w:rPr>
        <w:t xml:space="preserve"> desktop L2:</w:t>
      </w:r>
    </w:p>
    <w:tbl>
      <w:tblPr>
        <w:tblW w:w="9781" w:type="dxa"/>
        <w:tblInd w:w="71" w:type="dxa"/>
        <w:tblLayout w:type="fixed"/>
        <w:tblCellMar>
          <w:left w:w="71" w:type="dxa"/>
          <w:right w:w="71" w:type="dxa"/>
        </w:tblCellMar>
        <w:tblLook w:val="0000" w:firstRow="0" w:lastRow="0" w:firstColumn="0" w:lastColumn="0" w:noHBand="0" w:noVBand="0"/>
      </w:tblPr>
      <w:tblGrid>
        <w:gridCol w:w="567"/>
        <w:gridCol w:w="2051"/>
        <w:gridCol w:w="7163"/>
      </w:tblGrid>
      <w:tr w:rsidR="008A4294">
        <w:trPr>
          <w:trHeight w:val="284"/>
        </w:trPr>
        <w:tc>
          <w:tcPr>
            <w:tcW w:w="567" w:type="dxa"/>
            <w:tcBorders>
              <w:top w:val="single" w:sz="4" w:space="0" w:color="000000"/>
              <w:left w:val="single" w:sz="4" w:space="0" w:color="000000"/>
              <w:bottom w:val="single" w:sz="4" w:space="0" w:color="000000"/>
            </w:tcBorders>
            <w:shd w:val="clear" w:color="auto" w:fill="D9D9D9"/>
          </w:tcPr>
          <w:p w:rsidR="008A4294" w:rsidRDefault="00D67304">
            <w:pPr>
              <w:jc w:val="center"/>
              <w:rPr>
                <w:rFonts w:ascii="Calibri" w:hAnsi="Calibri" w:cs="Calibri"/>
                <w:b/>
                <w:bCs/>
                <w:sz w:val="18"/>
                <w:szCs w:val="18"/>
              </w:rPr>
            </w:pPr>
            <w:r>
              <w:rPr>
                <w:rFonts w:ascii="Calibri" w:hAnsi="Calibri" w:cs="Calibri"/>
                <w:b/>
                <w:bCs/>
                <w:sz w:val="18"/>
                <w:szCs w:val="18"/>
              </w:rPr>
              <w:t>Lp.</w:t>
            </w:r>
          </w:p>
        </w:tc>
        <w:tc>
          <w:tcPr>
            <w:tcW w:w="2051" w:type="dxa"/>
            <w:tcBorders>
              <w:top w:val="single" w:sz="4" w:space="0" w:color="000000"/>
              <w:left w:val="single" w:sz="4" w:space="0" w:color="000000"/>
              <w:bottom w:val="single" w:sz="4" w:space="0" w:color="000000"/>
            </w:tcBorders>
            <w:shd w:val="clear" w:color="auto" w:fill="D9D9D9"/>
          </w:tcPr>
          <w:p w:rsidR="008A4294" w:rsidRDefault="00D67304">
            <w:pPr>
              <w:jc w:val="center"/>
              <w:rPr>
                <w:rFonts w:ascii="Calibri" w:hAnsi="Calibri" w:cs="Calibri"/>
                <w:b/>
                <w:bCs/>
                <w:sz w:val="18"/>
                <w:szCs w:val="18"/>
              </w:rPr>
            </w:pPr>
            <w:r>
              <w:rPr>
                <w:rFonts w:ascii="Calibri" w:hAnsi="Calibri" w:cs="Calibri"/>
                <w:b/>
                <w:bCs/>
                <w:sz w:val="18"/>
                <w:szCs w:val="18"/>
              </w:rPr>
              <w:t>Nazwa komponentu</w:t>
            </w:r>
          </w:p>
        </w:tc>
        <w:tc>
          <w:tcPr>
            <w:tcW w:w="7163" w:type="dxa"/>
            <w:tcBorders>
              <w:top w:val="single" w:sz="4" w:space="0" w:color="000000"/>
              <w:left w:val="single" w:sz="4" w:space="0" w:color="000000"/>
              <w:bottom w:val="single" w:sz="6" w:space="0" w:color="000000"/>
              <w:right w:val="single" w:sz="4" w:space="0" w:color="000000"/>
            </w:tcBorders>
            <w:shd w:val="clear" w:color="auto" w:fill="D9D9D9"/>
          </w:tcPr>
          <w:p w:rsidR="008A4294" w:rsidRDefault="00D67304">
            <w:pPr>
              <w:ind w:left="-71"/>
              <w:jc w:val="center"/>
              <w:rPr>
                <w:rFonts w:ascii="Calibri" w:hAnsi="Calibri" w:cs="Calibri"/>
                <w:b/>
                <w:bCs/>
                <w:sz w:val="18"/>
                <w:szCs w:val="18"/>
              </w:rPr>
            </w:pPr>
            <w:r>
              <w:rPr>
                <w:rFonts w:ascii="Calibri" w:hAnsi="Calibri" w:cs="Calibri"/>
                <w:b/>
                <w:bCs/>
                <w:sz w:val="18"/>
                <w:szCs w:val="18"/>
              </w:rPr>
              <w:t>Wymagane minimalne parametry techniczne</w:t>
            </w:r>
          </w:p>
        </w:tc>
      </w:tr>
      <w:tr w:rsidR="008A4294">
        <w:trPr>
          <w:trHeight w:val="180"/>
        </w:trPr>
        <w:tc>
          <w:tcPr>
            <w:tcW w:w="567" w:type="dxa"/>
            <w:tcBorders>
              <w:top w:val="single" w:sz="4" w:space="0" w:color="000000"/>
              <w:left w:val="single" w:sz="4" w:space="0" w:color="000000"/>
              <w:bottom w:val="single" w:sz="4" w:space="0" w:color="000000"/>
            </w:tcBorders>
            <w:shd w:val="clear" w:color="auto" w:fill="D9D9D9"/>
          </w:tcPr>
          <w:p w:rsidR="008A4294" w:rsidRDefault="00D67304">
            <w:pPr>
              <w:jc w:val="center"/>
              <w:rPr>
                <w:rFonts w:ascii="Calibri" w:hAnsi="Calibri" w:cs="Calibri"/>
                <w:b/>
                <w:bCs/>
                <w:sz w:val="18"/>
                <w:szCs w:val="18"/>
              </w:rPr>
            </w:pPr>
            <w:r>
              <w:rPr>
                <w:rFonts w:ascii="Calibri" w:hAnsi="Calibri" w:cs="Calibri"/>
                <w:b/>
                <w:bCs/>
                <w:sz w:val="18"/>
                <w:szCs w:val="18"/>
              </w:rPr>
              <w:t>1</w:t>
            </w:r>
          </w:p>
        </w:tc>
        <w:tc>
          <w:tcPr>
            <w:tcW w:w="2051" w:type="dxa"/>
            <w:tcBorders>
              <w:top w:val="single" w:sz="4" w:space="0" w:color="000000"/>
              <w:left w:val="single" w:sz="4" w:space="0" w:color="000000"/>
              <w:bottom w:val="single" w:sz="4" w:space="0" w:color="000000"/>
            </w:tcBorders>
            <w:shd w:val="clear" w:color="auto" w:fill="D9D9D9"/>
          </w:tcPr>
          <w:p w:rsidR="008A4294" w:rsidRDefault="00D67304">
            <w:pPr>
              <w:jc w:val="center"/>
              <w:rPr>
                <w:rFonts w:ascii="Calibri" w:hAnsi="Calibri" w:cs="Calibri"/>
                <w:b/>
                <w:bCs/>
                <w:sz w:val="18"/>
                <w:szCs w:val="18"/>
              </w:rPr>
            </w:pPr>
            <w:r>
              <w:rPr>
                <w:rFonts w:ascii="Calibri" w:hAnsi="Calibri" w:cs="Calibri"/>
                <w:b/>
                <w:bCs/>
                <w:sz w:val="18"/>
                <w:szCs w:val="18"/>
              </w:rPr>
              <w:t>2</w:t>
            </w:r>
          </w:p>
        </w:tc>
        <w:tc>
          <w:tcPr>
            <w:tcW w:w="7163" w:type="dxa"/>
            <w:tcBorders>
              <w:top w:val="single" w:sz="6" w:space="0" w:color="000000"/>
              <w:left w:val="single" w:sz="4" w:space="0" w:color="000000"/>
              <w:bottom w:val="single" w:sz="6" w:space="0" w:color="000000"/>
              <w:right w:val="single" w:sz="4" w:space="0" w:color="000000"/>
            </w:tcBorders>
            <w:shd w:val="clear" w:color="auto" w:fill="D9D9D9"/>
          </w:tcPr>
          <w:p w:rsidR="008A4294" w:rsidRDefault="00D67304">
            <w:pPr>
              <w:ind w:left="-71"/>
              <w:jc w:val="center"/>
              <w:rPr>
                <w:rFonts w:ascii="Calibri" w:hAnsi="Calibri" w:cs="Calibri"/>
                <w:b/>
                <w:bCs/>
                <w:sz w:val="18"/>
                <w:szCs w:val="18"/>
              </w:rPr>
            </w:pPr>
            <w:r>
              <w:rPr>
                <w:rFonts w:ascii="Calibri" w:hAnsi="Calibri" w:cs="Calibri"/>
                <w:b/>
                <w:bCs/>
                <w:sz w:val="18"/>
                <w:szCs w:val="18"/>
              </w:rPr>
              <w:t>3</w:t>
            </w:r>
          </w:p>
        </w:tc>
      </w:tr>
      <w:tr w:rsidR="008A4294">
        <w:trPr>
          <w:trHeight w:val="457"/>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jc w:val="center"/>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bCs/>
                <w:sz w:val="18"/>
                <w:szCs w:val="18"/>
              </w:rPr>
            </w:pPr>
            <w:r>
              <w:rPr>
                <w:rFonts w:ascii="Calibri" w:hAnsi="Calibri" w:cs="Calibri"/>
                <w:sz w:val="18"/>
                <w:szCs w:val="18"/>
              </w:rPr>
              <w:t xml:space="preserve">Typ </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rPr>
            </w:pPr>
            <w:r>
              <w:rPr>
                <w:rFonts w:ascii="Calibri" w:hAnsi="Calibri" w:cs="Calibri"/>
                <w:sz w:val="18"/>
                <w:szCs w:val="18"/>
                <w:shd w:val="clear" w:color="auto" w:fill="FFFFFF"/>
              </w:rPr>
              <w:t xml:space="preserve">Przełącznik sieciowy zarządzany desktop L2.  </w:t>
            </w:r>
          </w:p>
        </w:tc>
      </w:tr>
      <w:tr w:rsidR="008A4294">
        <w:trPr>
          <w:trHeight w:val="535"/>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rPr>
              <w:t>Porty</w:t>
            </w:r>
          </w:p>
        </w:tc>
        <w:tc>
          <w:tcPr>
            <w:tcW w:w="7163" w:type="dxa"/>
            <w:tcBorders>
              <w:top w:val="single" w:sz="6" w:space="0" w:color="000000"/>
              <w:left w:val="single" w:sz="4" w:space="0" w:color="000000"/>
              <w:bottom w:val="single" w:sz="6" w:space="0" w:color="000000"/>
              <w:right w:val="single" w:sz="4" w:space="0" w:color="000000"/>
            </w:tcBorders>
            <w:shd w:val="clear" w:color="auto" w:fill="auto"/>
          </w:tcPr>
          <w:p w:rsidR="008A4294" w:rsidRDefault="00D67304">
            <w:pPr>
              <w:pStyle w:val="Bezodstpw"/>
              <w:numPr>
                <w:ilvl w:val="0"/>
                <w:numId w:val="6"/>
              </w:numPr>
              <w:ind w:left="361"/>
              <w:rPr>
                <w:rFonts w:ascii="Calibri" w:hAnsi="Calibri" w:cs="Calibri"/>
                <w:sz w:val="18"/>
                <w:szCs w:val="18"/>
              </w:rPr>
            </w:pPr>
            <w:r>
              <w:rPr>
                <w:rFonts w:ascii="Calibri" w:hAnsi="Calibri" w:cs="Calibri"/>
                <w:sz w:val="18"/>
                <w:szCs w:val="18"/>
                <w:shd w:val="clear" w:color="auto" w:fill="FFFFFF"/>
              </w:rPr>
              <w:t xml:space="preserve">Co najmniej 8 portów 10/100/1000 </w:t>
            </w:r>
            <w:proofErr w:type="spellStart"/>
            <w:r>
              <w:rPr>
                <w:rFonts w:ascii="Calibri" w:hAnsi="Calibri" w:cs="Calibri"/>
                <w:sz w:val="18"/>
                <w:szCs w:val="18"/>
                <w:shd w:val="clear" w:color="auto" w:fill="FFFFFF"/>
              </w:rPr>
              <w:t>Mb</w:t>
            </w:r>
            <w:proofErr w:type="spellEnd"/>
            <w:r>
              <w:rPr>
                <w:rFonts w:ascii="Calibri" w:hAnsi="Calibri" w:cs="Calibri"/>
                <w:sz w:val="18"/>
                <w:szCs w:val="18"/>
                <w:shd w:val="clear" w:color="auto" w:fill="FFFFFF"/>
              </w:rPr>
              <w:t xml:space="preserve"> </w:t>
            </w:r>
            <w:proofErr w:type="spellStart"/>
            <w:r>
              <w:rPr>
                <w:rFonts w:ascii="Calibri" w:hAnsi="Calibri" w:cs="Calibri"/>
                <w:sz w:val="18"/>
                <w:szCs w:val="18"/>
                <w:shd w:val="clear" w:color="auto" w:fill="FFFFFF"/>
              </w:rPr>
              <w:t>full</w:t>
            </w:r>
            <w:proofErr w:type="spellEnd"/>
            <w:r>
              <w:rPr>
                <w:rFonts w:ascii="Calibri" w:hAnsi="Calibri" w:cs="Calibri"/>
                <w:sz w:val="18"/>
                <w:szCs w:val="18"/>
                <w:shd w:val="clear" w:color="auto" w:fill="FFFFFF"/>
              </w:rPr>
              <w:t>-duplex z automatycznym wykrywaniem szybkości oraz</w:t>
            </w:r>
          </w:p>
          <w:p w:rsidR="008A4294" w:rsidRDefault="00D67304">
            <w:pPr>
              <w:pStyle w:val="Bezodstpw"/>
              <w:numPr>
                <w:ilvl w:val="0"/>
                <w:numId w:val="6"/>
              </w:numPr>
              <w:ind w:left="361"/>
              <w:rPr>
                <w:rFonts w:ascii="Calibri" w:hAnsi="Calibri" w:cs="Calibri"/>
                <w:sz w:val="18"/>
                <w:szCs w:val="18"/>
              </w:rPr>
            </w:pPr>
            <w:r>
              <w:rPr>
                <w:rFonts w:ascii="Calibri" w:hAnsi="Calibri" w:cs="Calibri"/>
                <w:sz w:val="18"/>
                <w:szCs w:val="18"/>
                <w:shd w:val="clear" w:color="auto" w:fill="FFFFFF"/>
              </w:rPr>
              <w:t>co najmniej dwa porty 1GE typu COMBO (RJ-45/SFP)</w:t>
            </w:r>
          </w:p>
        </w:tc>
      </w:tr>
      <w:tr w:rsidR="008A4294">
        <w:trPr>
          <w:trHeight w:val="119"/>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rPr>
              <w:t>Obudowa</w:t>
            </w:r>
          </w:p>
        </w:tc>
        <w:tc>
          <w:tcPr>
            <w:tcW w:w="7163" w:type="dxa"/>
            <w:tcBorders>
              <w:top w:val="single" w:sz="6" w:space="0" w:color="000000"/>
              <w:left w:val="single" w:sz="4" w:space="0" w:color="000000"/>
              <w:bottom w:val="single" w:sz="6" w:space="0" w:color="000000"/>
              <w:right w:val="single" w:sz="4" w:space="0" w:color="000000"/>
            </w:tcBorders>
            <w:shd w:val="clear" w:color="auto" w:fill="auto"/>
          </w:tcPr>
          <w:p w:rsidR="008A4294" w:rsidRDefault="00D67304">
            <w:pPr>
              <w:pStyle w:val="Bezodstpw"/>
              <w:rPr>
                <w:rFonts w:ascii="Calibri" w:hAnsi="Calibri" w:cs="Calibri"/>
                <w:sz w:val="18"/>
                <w:szCs w:val="18"/>
                <w:shd w:val="clear" w:color="auto" w:fill="FFFFFF"/>
              </w:rPr>
            </w:pPr>
            <w:r>
              <w:rPr>
                <w:rFonts w:ascii="Calibri" w:hAnsi="Calibri" w:cs="Calibri"/>
                <w:sz w:val="18"/>
                <w:szCs w:val="18"/>
                <w:shd w:val="clear" w:color="auto" w:fill="FFFFFF"/>
              </w:rPr>
              <w:t>Obudowa typu desktop z możliwością montażu na ścianie i w szafie rack 19”.</w:t>
            </w:r>
          </w:p>
        </w:tc>
      </w:tr>
      <w:tr w:rsidR="008A4294">
        <w:trPr>
          <w:trHeight w:val="253"/>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shd w:val="clear" w:color="auto" w:fill="FFFFFF"/>
              </w:rPr>
              <w:t>Parametry fizyczne</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rPr>
            </w:pPr>
            <w:r>
              <w:rPr>
                <w:rFonts w:ascii="Calibri" w:hAnsi="Calibri" w:cs="Calibri"/>
                <w:sz w:val="18"/>
                <w:szCs w:val="18"/>
                <w:shd w:val="clear" w:color="auto" w:fill="FFFFFF"/>
              </w:rPr>
              <w:t xml:space="preserve">Przełącznik charakteryzujący się bezgłośną pracą (brak wentylatorów/wiatraków). </w:t>
            </w:r>
          </w:p>
        </w:tc>
      </w:tr>
      <w:tr w:rsidR="008A4294">
        <w:trPr>
          <w:trHeight w:val="512"/>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shd w:val="clear" w:color="auto" w:fill="FFFFFF"/>
              </w:rPr>
              <w:t>Wielkość tablicy adresów MAC</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rPr>
            </w:pPr>
            <w:r>
              <w:rPr>
                <w:rFonts w:ascii="Calibri" w:hAnsi="Calibri" w:cs="Calibri"/>
                <w:sz w:val="18"/>
                <w:szCs w:val="18"/>
                <w:shd w:val="clear" w:color="auto" w:fill="FFFFFF"/>
              </w:rPr>
              <w:t>Co najmniej 10 000</w:t>
            </w:r>
          </w:p>
        </w:tc>
      </w:tr>
      <w:tr w:rsidR="008A4294">
        <w:trPr>
          <w:trHeight w:val="284"/>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shd w:val="clear" w:color="auto" w:fill="FFFFFF"/>
              </w:rPr>
              <w:t>Wydajność</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numPr>
                <w:ilvl w:val="0"/>
                <w:numId w:val="7"/>
              </w:numPr>
              <w:spacing w:after="0" w:line="240" w:lineRule="auto"/>
              <w:ind w:left="361"/>
              <w:rPr>
                <w:rFonts w:ascii="Calibri" w:hAnsi="Calibri" w:cs="Calibri"/>
                <w:sz w:val="18"/>
                <w:szCs w:val="18"/>
                <w:shd w:val="clear" w:color="auto" w:fill="FFFFFF"/>
              </w:rPr>
            </w:pPr>
            <w:r>
              <w:rPr>
                <w:rFonts w:ascii="Calibri" w:hAnsi="Calibri" w:cs="Calibri"/>
                <w:sz w:val="18"/>
                <w:szCs w:val="18"/>
                <w:shd w:val="clear" w:color="auto" w:fill="FFFFFF"/>
              </w:rPr>
              <w:t xml:space="preserve">Przepustowość: co najmniej 20 </w:t>
            </w:r>
            <w:proofErr w:type="spellStart"/>
            <w:r>
              <w:rPr>
                <w:rFonts w:ascii="Calibri" w:hAnsi="Calibri" w:cs="Calibri"/>
                <w:sz w:val="18"/>
                <w:szCs w:val="18"/>
                <w:shd w:val="clear" w:color="auto" w:fill="FFFFFF"/>
              </w:rPr>
              <w:t>Gb</w:t>
            </w:r>
            <w:proofErr w:type="spellEnd"/>
            <w:r>
              <w:rPr>
                <w:rFonts w:ascii="Calibri" w:hAnsi="Calibri" w:cs="Calibri"/>
                <w:sz w:val="18"/>
                <w:szCs w:val="18"/>
                <w:shd w:val="clear" w:color="auto" w:fill="FFFFFF"/>
              </w:rPr>
              <w:t>/s,</w:t>
            </w:r>
          </w:p>
          <w:p w:rsidR="008A4294" w:rsidRDefault="00D67304">
            <w:pPr>
              <w:numPr>
                <w:ilvl w:val="0"/>
                <w:numId w:val="7"/>
              </w:numPr>
              <w:spacing w:after="0" w:line="240" w:lineRule="auto"/>
              <w:ind w:left="361"/>
              <w:rPr>
                <w:rFonts w:ascii="Calibri" w:hAnsi="Calibri" w:cs="Calibri"/>
                <w:sz w:val="18"/>
                <w:szCs w:val="18"/>
                <w:shd w:val="clear" w:color="auto" w:fill="FFFFFF"/>
              </w:rPr>
            </w:pPr>
            <w:r>
              <w:rPr>
                <w:rFonts w:ascii="Calibri" w:hAnsi="Calibri" w:cs="Calibri"/>
                <w:sz w:val="18"/>
                <w:szCs w:val="18"/>
                <w:shd w:val="clear" w:color="auto" w:fill="FFFFFF"/>
              </w:rPr>
              <w:t xml:space="preserve">Wydajność przełączania: minimum 14 </w:t>
            </w:r>
            <w:proofErr w:type="spellStart"/>
            <w:r>
              <w:rPr>
                <w:rFonts w:ascii="Calibri" w:hAnsi="Calibri" w:cs="Calibri"/>
                <w:sz w:val="18"/>
                <w:szCs w:val="18"/>
                <w:shd w:val="clear" w:color="auto" w:fill="FFFFFF"/>
              </w:rPr>
              <w:t>Mpps</w:t>
            </w:r>
            <w:proofErr w:type="spellEnd"/>
            <w:r>
              <w:rPr>
                <w:rFonts w:ascii="Calibri" w:hAnsi="Calibri" w:cs="Calibri"/>
                <w:sz w:val="18"/>
                <w:szCs w:val="18"/>
                <w:shd w:val="clear" w:color="auto" w:fill="FFFFFF"/>
              </w:rPr>
              <w:t xml:space="preserve"> dla pakietów 64-bajtowych,</w:t>
            </w:r>
          </w:p>
          <w:p w:rsidR="008A4294" w:rsidRDefault="00D67304">
            <w:pPr>
              <w:numPr>
                <w:ilvl w:val="0"/>
                <w:numId w:val="7"/>
              </w:numPr>
              <w:spacing w:after="0" w:line="240" w:lineRule="auto"/>
              <w:ind w:left="361"/>
              <w:rPr>
                <w:rFonts w:ascii="Calibri" w:hAnsi="Calibri" w:cs="Calibri"/>
                <w:sz w:val="18"/>
                <w:szCs w:val="18"/>
                <w:shd w:val="clear" w:color="auto" w:fill="FFFFFF"/>
              </w:rPr>
            </w:pPr>
            <w:r>
              <w:rPr>
                <w:rFonts w:ascii="Calibri" w:hAnsi="Calibri" w:cs="Calibri"/>
                <w:sz w:val="18"/>
                <w:szCs w:val="18"/>
                <w:shd w:val="clear" w:color="auto" w:fill="FFFFFF"/>
              </w:rPr>
              <w:t xml:space="preserve">przełączanie z wydajnością </w:t>
            </w:r>
            <w:proofErr w:type="spellStart"/>
            <w:r>
              <w:rPr>
                <w:rFonts w:ascii="Calibri" w:hAnsi="Calibri" w:cs="Calibri"/>
                <w:sz w:val="18"/>
                <w:szCs w:val="18"/>
                <w:shd w:val="clear" w:color="auto" w:fill="FFFFFF"/>
              </w:rPr>
              <w:t>linerate</w:t>
            </w:r>
            <w:proofErr w:type="spellEnd"/>
            <w:r>
              <w:rPr>
                <w:rFonts w:ascii="Calibri" w:hAnsi="Calibri" w:cs="Calibri"/>
                <w:sz w:val="18"/>
                <w:szCs w:val="18"/>
                <w:shd w:val="clear" w:color="auto" w:fill="FFFFFF"/>
              </w:rPr>
              <w:t xml:space="preserve"> na wszystkich portach.</w:t>
            </w:r>
          </w:p>
        </w:tc>
      </w:tr>
      <w:tr w:rsidR="008A4294">
        <w:trPr>
          <w:trHeight w:val="701"/>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shd w:val="clear" w:color="auto" w:fill="FFFFFF"/>
              </w:rPr>
              <w:t>Obsługa standardów</w:t>
            </w:r>
            <w:r>
              <w:rPr>
                <w:rFonts w:ascii="Calibri" w:hAnsi="Calibri" w:cs="Calibri"/>
                <w:sz w:val="18"/>
                <w:szCs w:val="18"/>
              </w:rPr>
              <w:t xml:space="preserve"> </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shd w:val="clear" w:color="auto" w:fill="FFFFFF"/>
                <w:lang w:val="en-US"/>
              </w:rPr>
            </w:pPr>
            <w:r>
              <w:rPr>
                <w:rFonts w:ascii="Calibri" w:hAnsi="Calibri" w:cs="Calibri"/>
                <w:sz w:val="18"/>
                <w:szCs w:val="18"/>
                <w:shd w:val="clear" w:color="auto" w:fill="FFFFFF"/>
                <w:lang w:val="en-US"/>
              </w:rPr>
              <w:t xml:space="preserve">10/100/1000 BASE-T Ethernet (IEEE 802.3, IEEE 802.3u, IEEE 802.3ab), </w:t>
            </w:r>
            <w:proofErr w:type="spellStart"/>
            <w:r>
              <w:rPr>
                <w:rFonts w:ascii="Calibri" w:hAnsi="Calibri" w:cs="Calibri"/>
                <w:sz w:val="18"/>
                <w:szCs w:val="18"/>
                <w:shd w:val="clear" w:color="auto" w:fill="FFFFFF"/>
                <w:lang w:val="en-US"/>
              </w:rPr>
              <w:t>agregacja</w:t>
            </w:r>
            <w:proofErr w:type="spellEnd"/>
            <w:r>
              <w:rPr>
                <w:rFonts w:ascii="Calibri" w:hAnsi="Calibri" w:cs="Calibri"/>
                <w:sz w:val="18"/>
                <w:szCs w:val="18"/>
                <w:shd w:val="clear" w:color="auto" w:fill="FFFFFF"/>
                <w:lang w:val="en-US"/>
              </w:rPr>
              <w:t xml:space="preserve"> </w:t>
            </w:r>
            <w:proofErr w:type="spellStart"/>
            <w:r>
              <w:rPr>
                <w:rFonts w:ascii="Calibri" w:hAnsi="Calibri" w:cs="Calibri"/>
                <w:sz w:val="18"/>
                <w:szCs w:val="18"/>
                <w:shd w:val="clear" w:color="auto" w:fill="FFFFFF"/>
                <w:lang w:val="en-US"/>
              </w:rPr>
              <w:t>portów</w:t>
            </w:r>
            <w:proofErr w:type="spellEnd"/>
            <w:r>
              <w:rPr>
                <w:rFonts w:ascii="Calibri" w:hAnsi="Calibri" w:cs="Calibri"/>
                <w:sz w:val="18"/>
                <w:szCs w:val="18"/>
                <w:shd w:val="clear" w:color="auto" w:fill="FFFFFF"/>
                <w:lang w:val="en-US"/>
              </w:rPr>
              <w:t xml:space="preserve"> </w:t>
            </w:r>
            <w:proofErr w:type="spellStart"/>
            <w:r>
              <w:rPr>
                <w:rFonts w:ascii="Calibri" w:hAnsi="Calibri" w:cs="Calibri"/>
                <w:sz w:val="18"/>
                <w:szCs w:val="18"/>
                <w:shd w:val="clear" w:color="auto" w:fill="FFFFFF"/>
                <w:lang w:val="en-US"/>
              </w:rPr>
              <w:t>zgodnie</w:t>
            </w:r>
            <w:proofErr w:type="spellEnd"/>
            <w:r>
              <w:rPr>
                <w:rFonts w:ascii="Calibri" w:hAnsi="Calibri" w:cs="Calibri"/>
                <w:sz w:val="18"/>
                <w:szCs w:val="18"/>
                <w:shd w:val="clear" w:color="auto" w:fill="FFFFFF"/>
                <w:lang w:val="en-US"/>
              </w:rPr>
              <w:t xml:space="preserve"> z LACP (IEEE 802.3ad), Flow control (IEEE 802.3x), VLAN (IEEE 802.1Q), Spanning Tree (IEEE 802.1d/w), Multiple Spanning Tree Protocol (IEEE 802.1s), </w:t>
            </w:r>
            <w:proofErr w:type="spellStart"/>
            <w:r>
              <w:rPr>
                <w:rFonts w:ascii="Calibri" w:hAnsi="Calibri" w:cs="Calibri"/>
                <w:sz w:val="18"/>
                <w:szCs w:val="18"/>
                <w:shd w:val="clear" w:color="auto" w:fill="FFFFFF"/>
                <w:lang w:val="en-US"/>
              </w:rPr>
              <w:t>Autentykacja</w:t>
            </w:r>
            <w:proofErr w:type="spellEnd"/>
            <w:r>
              <w:rPr>
                <w:rFonts w:ascii="Calibri" w:hAnsi="Calibri" w:cs="Calibri"/>
                <w:sz w:val="18"/>
                <w:szCs w:val="18"/>
                <w:shd w:val="clear" w:color="auto" w:fill="FFFFFF"/>
                <w:lang w:val="en-US"/>
              </w:rPr>
              <w:t xml:space="preserve"> </w:t>
            </w:r>
            <w:proofErr w:type="spellStart"/>
            <w:r>
              <w:rPr>
                <w:rFonts w:ascii="Calibri" w:hAnsi="Calibri" w:cs="Calibri"/>
                <w:sz w:val="18"/>
                <w:szCs w:val="18"/>
                <w:shd w:val="clear" w:color="auto" w:fill="FFFFFF"/>
                <w:lang w:val="en-US"/>
              </w:rPr>
              <w:t>użytkowników</w:t>
            </w:r>
            <w:proofErr w:type="spellEnd"/>
            <w:r>
              <w:rPr>
                <w:rFonts w:ascii="Calibri" w:hAnsi="Calibri" w:cs="Calibri"/>
                <w:sz w:val="18"/>
                <w:szCs w:val="18"/>
                <w:shd w:val="clear" w:color="auto" w:fill="FFFFFF"/>
                <w:lang w:val="en-US"/>
              </w:rPr>
              <w:t xml:space="preserve"> w </w:t>
            </w:r>
            <w:proofErr w:type="spellStart"/>
            <w:r>
              <w:rPr>
                <w:rFonts w:ascii="Calibri" w:hAnsi="Calibri" w:cs="Calibri"/>
                <w:sz w:val="18"/>
                <w:szCs w:val="18"/>
                <w:shd w:val="clear" w:color="auto" w:fill="FFFFFF"/>
                <w:lang w:val="en-US"/>
              </w:rPr>
              <w:t>oparciu</w:t>
            </w:r>
            <w:proofErr w:type="spellEnd"/>
            <w:r>
              <w:rPr>
                <w:rFonts w:ascii="Calibri" w:hAnsi="Calibri" w:cs="Calibri"/>
                <w:sz w:val="18"/>
                <w:szCs w:val="18"/>
                <w:shd w:val="clear" w:color="auto" w:fill="FFFFFF"/>
                <w:lang w:val="en-US"/>
              </w:rPr>
              <w:t xml:space="preserve"> o IEEE 802.1x, PoE (IEEE 802.3af), PoE+ (IEEE 802.3at), Efficient Energy Ethernet (IEEE 802.3az)</w:t>
            </w:r>
          </w:p>
        </w:tc>
      </w:tr>
      <w:tr w:rsidR="008A4294">
        <w:trPr>
          <w:trHeight w:val="701"/>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rPr>
                <w:rFonts w:ascii="Calibri" w:hAnsi="Calibri" w:cs="Calibri"/>
                <w:sz w:val="18"/>
                <w:szCs w:val="18"/>
                <w:lang w:val="en-US"/>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rPr>
                <w:rFonts w:ascii="Calibri" w:hAnsi="Calibri" w:cs="Calibri"/>
                <w:sz w:val="18"/>
                <w:szCs w:val="18"/>
                <w:shd w:val="clear" w:color="auto" w:fill="FFFFFF"/>
              </w:rPr>
            </w:pPr>
            <w:r>
              <w:rPr>
                <w:rFonts w:ascii="Calibri" w:hAnsi="Calibri" w:cs="Calibri"/>
                <w:sz w:val="18"/>
                <w:szCs w:val="18"/>
                <w:shd w:val="clear" w:color="auto" w:fill="FFFFFF"/>
              </w:rPr>
              <w:t>Obsługa funkcjonalności, co najmniej</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spacing w:after="0"/>
              <w:rPr>
                <w:rFonts w:ascii="Calibri" w:hAnsi="Calibri" w:cs="Calibri"/>
                <w:sz w:val="18"/>
                <w:szCs w:val="18"/>
                <w:shd w:val="clear" w:color="auto" w:fill="FFFFFF"/>
              </w:rPr>
            </w:pPr>
            <w:r>
              <w:rPr>
                <w:rFonts w:ascii="Calibri" w:hAnsi="Calibri" w:cs="Calibri"/>
                <w:sz w:val="18"/>
                <w:szCs w:val="18"/>
                <w:shd w:val="clear" w:color="auto" w:fill="FFFFFF"/>
              </w:rPr>
              <w:t xml:space="preserve">Obsługa 64 sieci VLAN, obsługa funkcjonalności tzw. Voice VLAN umożliwiającej odseparowanie ruchu danych i ruchu głosowego, obsługa ramek JUMBO wielkości co najmniej 9000 bajtów, SSH v1 i v2, SSL, Web </w:t>
            </w:r>
            <w:proofErr w:type="spellStart"/>
            <w:r>
              <w:rPr>
                <w:rFonts w:ascii="Calibri" w:hAnsi="Calibri" w:cs="Calibri"/>
                <w:sz w:val="18"/>
                <w:szCs w:val="18"/>
                <w:shd w:val="clear" w:color="auto" w:fill="FFFFFF"/>
              </w:rPr>
              <w:t>Based</w:t>
            </w:r>
            <w:proofErr w:type="spellEnd"/>
            <w:r>
              <w:rPr>
                <w:rFonts w:ascii="Calibri" w:hAnsi="Calibri" w:cs="Calibri"/>
                <w:sz w:val="18"/>
                <w:szCs w:val="18"/>
                <w:shd w:val="clear" w:color="auto" w:fill="FFFFFF"/>
              </w:rPr>
              <w:t xml:space="preserve"> </w:t>
            </w:r>
            <w:proofErr w:type="spellStart"/>
            <w:r>
              <w:rPr>
                <w:rFonts w:ascii="Calibri" w:hAnsi="Calibri" w:cs="Calibri"/>
                <w:sz w:val="18"/>
                <w:szCs w:val="18"/>
                <w:shd w:val="clear" w:color="auto" w:fill="FFFFFF"/>
              </w:rPr>
              <w:t>Authentication</w:t>
            </w:r>
            <w:proofErr w:type="spellEnd"/>
            <w:r>
              <w:rPr>
                <w:rFonts w:ascii="Calibri" w:hAnsi="Calibri" w:cs="Calibri"/>
                <w:sz w:val="18"/>
                <w:szCs w:val="18"/>
                <w:shd w:val="clear" w:color="auto" w:fill="FFFFFF"/>
              </w:rPr>
              <w:t xml:space="preserve">, </w:t>
            </w:r>
            <w:proofErr w:type="spellStart"/>
            <w:r>
              <w:rPr>
                <w:rFonts w:ascii="Calibri" w:hAnsi="Calibri" w:cs="Calibri"/>
                <w:sz w:val="18"/>
                <w:szCs w:val="18"/>
                <w:shd w:val="clear" w:color="auto" w:fill="FFFFFF"/>
              </w:rPr>
              <w:t>QoS</w:t>
            </w:r>
            <w:proofErr w:type="spellEnd"/>
            <w:r>
              <w:rPr>
                <w:rFonts w:ascii="Calibri" w:hAnsi="Calibri" w:cs="Calibri"/>
                <w:sz w:val="18"/>
                <w:szCs w:val="18"/>
                <w:shd w:val="clear" w:color="auto" w:fill="FFFFFF"/>
              </w:rPr>
              <w:t xml:space="preserve"> z </w:t>
            </w:r>
            <w:proofErr w:type="spellStart"/>
            <w:r>
              <w:rPr>
                <w:rFonts w:ascii="Calibri" w:hAnsi="Calibri" w:cs="Calibri"/>
                <w:sz w:val="18"/>
                <w:szCs w:val="18"/>
                <w:shd w:val="clear" w:color="auto" w:fill="FFFFFF"/>
              </w:rPr>
              <w:t>priorytetyzacją</w:t>
            </w:r>
            <w:proofErr w:type="spellEnd"/>
            <w:r>
              <w:rPr>
                <w:rFonts w:ascii="Calibri" w:hAnsi="Calibri" w:cs="Calibri"/>
                <w:sz w:val="18"/>
                <w:szCs w:val="18"/>
                <w:shd w:val="clear" w:color="auto" w:fill="FFFFFF"/>
              </w:rPr>
              <w:t xml:space="preserve"> dla 4 kolejek sprzętowych na każdym porcie wyjściowym, Link </w:t>
            </w:r>
            <w:proofErr w:type="spellStart"/>
            <w:r>
              <w:rPr>
                <w:rFonts w:ascii="Calibri" w:hAnsi="Calibri" w:cs="Calibri"/>
                <w:sz w:val="18"/>
                <w:szCs w:val="18"/>
                <w:shd w:val="clear" w:color="auto" w:fill="FFFFFF"/>
              </w:rPr>
              <w:t>Layer</w:t>
            </w:r>
            <w:proofErr w:type="spellEnd"/>
            <w:r>
              <w:rPr>
                <w:rFonts w:ascii="Calibri" w:hAnsi="Calibri" w:cs="Calibri"/>
                <w:sz w:val="18"/>
                <w:szCs w:val="18"/>
                <w:shd w:val="clear" w:color="auto" w:fill="FFFFFF"/>
              </w:rPr>
              <w:t xml:space="preserve"> Discovery </w:t>
            </w:r>
            <w:proofErr w:type="spellStart"/>
            <w:r>
              <w:rPr>
                <w:rFonts w:ascii="Calibri" w:hAnsi="Calibri" w:cs="Calibri"/>
                <w:sz w:val="18"/>
                <w:szCs w:val="18"/>
                <w:shd w:val="clear" w:color="auto" w:fill="FFFFFF"/>
              </w:rPr>
              <w:t>Protocol</w:t>
            </w:r>
            <w:proofErr w:type="spellEnd"/>
            <w:r>
              <w:rPr>
                <w:rFonts w:ascii="Calibri" w:hAnsi="Calibri" w:cs="Calibri"/>
                <w:sz w:val="18"/>
                <w:szCs w:val="18"/>
                <w:shd w:val="clear" w:color="auto" w:fill="FFFFFF"/>
              </w:rPr>
              <w:t xml:space="preserve"> (LLDP-MED lub CDP).</w:t>
            </w:r>
          </w:p>
        </w:tc>
      </w:tr>
      <w:tr w:rsidR="008A4294">
        <w:trPr>
          <w:trHeight w:val="159"/>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rPr>
                <w:rFonts w:ascii="Calibri" w:hAnsi="Calibri" w:cs="Calibri"/>
                <w:sz w:val="18"/>
                <w:szCs w:val="18"/>
                <w:shd w:val="clear" w:color="auto" w:fill="FFFFFF"/>
              </w:rPr>
            </w:pPr>
            <w:r>
              <w:rPr>
                <w:rFonts w:ascii="Calibri" w:hAnsi="Calibri" w:cs="Calibri"/>
                <w:sz w:val="18"/>
                <w:szCs w:val="18"/>
                <w:shd w:val="clear" w:color="auto" w:fill="FFFFFF"/>
              </w:rPr>
              <w:t>Zarządzanie</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rPr>
            </w:pPr>
            <w:r>
              <w:rPr>
                <w:rFonts w:ascii="Calibri" w:hAnsi="Calibri" w:cs="Calibri"/>
                <w:sz w:val="18"/>
                <w:szCs w:val="18"/>
                <w:shd w:val="clear" w:color="auto" w:fill="FFFFFF"/>
              </w:rPr>
              <w:t>Co najmniej poprzez protokoły: IPv4 i IPv6, http/</w:t>
            </w:r>
            <w:proofErr w:type="spellStart"/>
            <w:r>
              <w:rPr>
                <w:rFonts w:ascii="Calibri" w:hAnsi="Calibri" w:cs="Calibri"/>
                <w:sz w:val="18"/>
                <w:szCs w:val="18"/>
                <w:shd w:val="clear" w:color="auto" w:fill="FFFFFF"/>
              </w:rPr>
              <w:t>https</w:t>
            </w:r>
            <w:proofErr w:type="spellEnd"/>
            <w:r>
              <w:rPr>
                <w:rFonts w:ascii="Calibri" w:hAnsi="Calibri" w:cs="Calibri"/>
                <w:sz w:val="18"/>
                <w:szCs w:val="18"/>
                <w:shd w:val="clear" w:color="auto" w:fill="FFFFFF"/>
              </w:rPr>
              <w:t xml:space="preserve">, SSH, SNMP </w:t>
            </w:r>
          </w:p>
        </w:tc>
      </w:tr>
      <w:tr w:rsidR="008A4294">
        <w:trPr>
          <w:trHeight w:val="283"/>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shd w:val="clear" w:color="auto" w:fill="FFFFFF"/>
              </w:rPr>
              <w:t>Zasilanie</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cs="Calibri"/>
                <w:sz w:val="18"/>
                <w:szCs w:val="18"/>
              </w:rPr>
            </w:pPr>
            <w:r>
              <w:rPr>
                <w:rFonts w:eastAsia="MS Mincho" w:cstheme="minorHAnsi"/>
                <w:color w:val="000000" w:themeColor="text1"/>
                <w:sz w:val="18"/>
                <w:szCs w:val="18"/>
              </w:rPr>
              <w:t>Przełącznik powinien być wyposażony w zasilacz AC, przystosowany do zasilania z sieci 230V.</w:t>
            </w:r>
          </w:p>
        </w:tc>
      </w:tr>
      <w:tr w:rsidR="008A4294">
        <w:trPr>
          <w:trHeight w:val="137"/>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shd w:val="clear" w:color="auto" w:fill="FFFFFF"/>
              </w:rPr>
            </w:pPr>
            <w:r>
              <w:rPr>
                <w:rFonts w:ascii="Calibri" w:hAnsi="Calibri" w:cs="Calibri"/>
                <w:sz w:val="18"/>
                <w:szCs w:val="18"/>
                <w:shd w:val="clear" w:color="auto" w:fill="FFFFFF"/>
              </w:rPr>
              <w:t>Budżet mocy pozwalający na zasilenie podłączonych urządzeń</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shd w:val="clear" w:color="auto" w:fill="FFFFFF"/>
              </w:rPr>
            </w:pPr>
            <w:r>
              <w:rPr>
                <w:rFonts w:ascii="Calibri" w:hAnsi="Calibri" w:cs="Calibri"/>
                <w:sz w:val="18"/>
                <w:szCs w:val="18"/>
                <w:shd w:val="clear" w:color="auto" w:fill="FFFFFF"/>
              </w:rPr>
              <w:t>Minimum 60 W</w:t>
            </w:r>
          </w:p>
        </w:tc>
      </w:tr>
      <w:tr w:rsidR="008A4294">
        <w:trPr>
          <w:trHeight w:val="284"/>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5"/>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shd w:val="clear" w:color="auto" w:fill="FFFFFF"/>
              </w:rPr>
              <w:t>Gwarancja</w:t>
            </w:r>
          </w:p>
        </w:tc>
        <w:tc>
          <w:tcPr>
            <w:tcW w:w="7163" w:type="dxa"/>
            <w:tcBorders>
              <w:top w:val="single" w:sz="6" w:space="0" w:color="000000"/>
              <w:left w:val="single" w:sz="4" w:space="0" w:color="000000"/>
              <w:bottom w:val="single" w:sz="6" w:space="0" w:color="000000"/>
              <w:right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rPr>
              <w:t>Min 36 miesięcy.</w:t>
            </w:r>
          </w:p>
          <w:p w:rsidR="008A4294" w:rsidRDefault="00D67304">
            <w:pPr>
              <w:rPr>
                <w:rFonts w:ascii="Calibri" w:hAnsi="Calibri" w:cs="Calibri"/>
                <w:sz w:val="18"/>
                <w:szCs w:val="18"/>
              </w:rPr>
            </w:pPr>
            <w:r>
              <w:rPr>
                <w:rFonts w:ascii="Calibri" w:hAnsi="Calibri" w:cs="Calibri"/>
                <w:color w:val="000000"/>
                <w:sz w:val="18"/>
                <w:szCs w:val="18"/>
                <w:shd w:val="clear" w:color="auto" w:fill="FFFFFF"/>
                <w:lang w:eastAsia="pl-PL"/>
              </w:rPr>
              <w:t>Sprzęt musi być fabrycznie nowy, nie używany. w kartonie, zabezpieczony do transportu i magazynowania.</w:t>
            </w:r>
          </w:p>
          <w:p w:rsidR="008A4294" w:rsidRDefault="00D67304">
            <w:pPr>
              <w:rPr>
                <w:rFonts w:ascii="Calibri" w:hAnsi="Calibri" w:cs="Calibri"/>
                <w:sz w:val="18"/>
                <w:szCs w:val="18"/>
              </w:rPr>
            </w:pPr>
            <w:r>
              <w:rPr>
                <w:rFonts w:cstheme="minorHAnsi"/>
                <w:color w:val="000000" w:themeColor="text1"/>
                <w:sz w:val="18"/>
                <w:szCs w:val="18"/>
              </w:rPr>
              <w:t>Oferowane urządzenia w dniu składania ofert nie mogą być przeznaczone przez producenta do wycofania z produkcji lub sprzedaży (End Of Life, End Of Sale).</w:t>
            </w:r>
          </w:p>
        </w:tc>
      </w:tr>
    </w:tbl>
    <w:p w:rsidR="008A4294" w:rsidRDefault="008A4294">
      <w:pPr>
        <w:pStyle w:val="Akapitzlist1"/>
        <w:spacing w:line="360" w:lineRule="auto"/>
        <w:jc w:val="both"/>
        <w:rPr>
          <w:rFonts w:asciiTheme="minorHAnsi" w:hAnsiTheme="minorHAnsi" w:cstheme="minorHAnsi"/>
        </w:rPr>
      </w:pPr>
    </w:p>
    <w:p w:rsidR="008A4294" w:rsidRPr="00C253DF" w:rsidRDefault="00C253DF" w:rsidP="00C253DF">
      <w:pPr>
        <w:spacing w:after="0" w:line="360" w:lineRule="auto"/>
        <w:ind w:left="142"/>
        <w:jc w:val="both"/>
        <w:rPr>
          <w:rFonts w:cstheme="minorHAnsi"/>
          <w:b/>
          <w:sz w:val="24"/>
          <w:szCs w:val="20"/>
        </w:rPr>
      </w:pPr>
      <w:r>
        <w:rPr>
          <w:rFonts w:cstheme="minorHAnsi"/>
          <w:b/>
          <w:sz w:val="24"/>
          <w:szCs w:val="20"/>
        </w:rPr>
        <w:t>Część II - P</w:t>
      </w:r>
      <w:r w:rsidR="00D67304" w:rsidRPr="00C253DF">
        <w:rPr>
          <w:rFonts w:cstheme="minorHAnsi"/>
          <w:b/>
          <w:sz w:val="24"/>
        </w:rPr>
        <w:t>rzełącznik sieciow</w:t>
      </w:r>
      <w:r>
        <w:rPr>
          <w:rFonts w:cstheme="minorHAnsi"/>
          <w:b/>
          <w:sz w:val="24"/>
        </w:rPr>
        <w:t>y</w:t>
      </w:r>
      <w:r w:rsidR="00D67304" w:rsidRPr="00C253DF">
        <w:rPr>
          <w:rFonts w:cstheme="minorHAnsi"/>
          <w:b/>
          <w:sz w:val="24"/>
        </w:rPr>
        <w:t xml:space="preserve"> </w:t>
      </w:r>
      <w:proofErr w:type="spellStart"/>
      <w:r>
        <w:rPr>
          <w:rFonts w:cstheme="minorHAnsi"/>
          <w:b/>
          <w:sz w:val="24"/>
        </w:rPr>
        <w:t>zarządzalny</w:t>
      </w:r>
      <w:proofErr w:type="spellEnd"/>
      <w:r w:rsidR="00D67304" w:rsidRPr="00C253DF">
        <w:rPr>
          <w:rFonts w:cstheme="minorHAnsi"/>
          <w:b/>
          <w:sz w:val="24"/>
        </w:rPr>
        <w:t xml:space="preserve"> </w:t>
      </w:r>
      <w:proofErr w:type="spellStart"/>
      <w:r w:rsidR="00D67304" w:rsidRPr="00C253DF">
        <w:rPr>
          <w:rFonts w:cstheme="minorHAnsi"/>
          <w:b/>
          <w:sz w:val="24"/>
        </w:rPr>
        <w:t>rack</w:t>
      </w:r>
      <w:proofErr w:type="spellEnd"/>
      <w:r w:rsidR="00D67304" w:rsidRPr="00C253DF">
        <w:rPr>
          <w:rFonts w:cstheme="minorHAnsi"/>
          <w:b/>
          <w:sz w:val="24"/>
        </w:rPr>
        <w:t xml:space="preserve"> L2 z </w:t>
      </w:r>
      <w:proofErr w:type="spellStart"/>
      <w:r w:rsidR="00D67304" w:rsidRPr="00C253DF">
        <w:rPr>
          <w:rFonts w:cstheme="minorHAnsi"/>
          <w:b/>
          <w:sz w:val="24"/>
        </w:rPr>
        <w:t>PoE</w:t>
      </w:r>
      <w:proofErr w:type="spellEnd"/>
      <w:r w:rsidR="00D67304" w:rsidRPr="00C253DF">
        <w:rPr>
          <w:rFonts w:cstheme="minorHAnsi"/>
          <w:b/>
          <w:sz w:val="28"/>
          <w:szCs w:val="20"/>
        </w:rPr>
        <w:t>:</w:t>
      </w:r>
    </w:p>
    <w:tbl>
      <w:tblPr>
        <w:tblW w:w="9781" w:type="dxa"/>
        <w:tblInd w:w="71" w:type="dxa"/>
        <w:tblLayout w:type="fixed"/>
        <w:tblCellMar>
          <w:left w:w="71" w:type="dxa"/>
          <w:right w:w="71" w:type="dxa"/>
        </w:tblCellMar>
        <w:tblLook w:val="0000" w:firstRow="0" w:lastRow="0" w:firstColumn="0" w:lastColumn="0" w:noHBand="0" w:noVBand="0"/>
      </w:tblPr>
      <w:tblGrid>
        <w:gridCol w:w="567"/>
        <w:gridCol w:w="2051"/>
        <w:gridCol w:w="7163"/>
      </w:tblGrid>
      <w:tr w:rsidR="008A4294">
        <w:trPr>
          <w:trHeight w:val="284"/>
        </w:trPr>
        <w:tc>
          <w:tcPr>
            <w:tcW w:w="567" w:type="dxa"/>
            <w:tcBorders>
              <w:top w:val="single" w:sz="4" w:space="0" w:color="000000"/>
              <w:left w:val="single" w:sz="4" w:space="0" w:color="000000"/>
              <w:bottom w:val="single" w:sz="4" w:space="0" w:color="000000"/>
            </w:tcBorders>
            <w:shd w:val="clear" w:color="auto" w:fill="D9D9D9"/>
          </w:tcPr>
          <w:p w:rsidR="008A4294" w:rsidRDefault="00D67304">
            <w:pPr>
              <w:spacing w:line="240" w:lineRule="auto"/>
              <w:jc w:val="center"/>
              <w:rPr>
                <w:rFonts w:ascii="Calibri" w:hAnsi="Calibri" w:cs="Calibri"/>
                <w:b/>
                <w:bCs/>
                <w:color w:val="000000" w:themeColor="text1"/>
                <w:sz w:val="18"/>
                <w:szCs w:val="18"/>
              </w:rPr>
            </w:pPr>
            <w:r>
              <w:rPr>
                <w:rFonts w:ascii="Calibri" w:hAnsi="Calibri" w:cs="Calibri"/>
                <w:b/>
                <w:bCs/>
                <w:color w:val="000000" w:themeColor="text1"/>
                <w:sz w:val="18"/>
                <w:szCs w:val="18"/>
              </w:rPr>
              <w:t>Lp.</w:t>
            </w:r>
          </w:p>
        </w:tc>
        <w:tc>
          <w:tcPr>
            <w:tcW w:w="2051" w:type="dxa"/>
            <w:tcBorders>
              <w:top w:val="single" w:sz="4" w:space="0" w:color="000000"/>
              <w:left w:val="single" w:sz="4" w:space="0" w:color="000000"/>
              <w:bottom w:val="single" w:sz="4" w:space="0" w:color="000000"/>
            </w:tcBorders>
            <w:shd w:val="clear" w:color="auto" w:fill="D9D9D9"/>
          </w:tcPr>
          <w:p w:rsidR="008A4294" w:rsidRDefault="00D67304">
            <w:pPr>
              <w:spacing w:line="240" w:lineRule="auto"/>
              <w:jc w:val="center"/>
              <w:rPr>
                <w:rFonts w:ascii="Calibri" w:hAnsi="Calibri" w:cs="Calibri"/>
                <w:b/>
                <w:bCs/>
                <w:color w:val="000000" w:themeColor="text1"/>
                <w:sz w:val="18"/>
                <w:szCs w:val="18"/>
              </w:rPr>
            </w:pPr>
            <w:r>
              <w:rPr>
                <w:rFonts w:ascii="Calibri" w:hAnsi="Calibri" w:cs="Calibri"/>
                <w:b/>
                <w:bCs/>
                <w:color w:val="000000" w:themeColor="text1"/>
                <w:sz w:val="18"/>
                <w:szCs w:val="18"/>
              </w:rPr>
              <w:t>Nazwa komponentu</w:t>
            </w:r>
          </w:p>
        </w:tc>
        <w:tc>
          <w:tcPr>
            <w:tcW w:w="7163" w:type="dxa"/>
            <w:tcBorders>
              <w:top w:val="single" w:sz="4" w:space="0" w:color="000000"/>
              <w:left w:val="single" w:sz="4" w:space="0" w:color="000000"/>
              <w:bottom w:val="single" w:sz="6" w:space="0" w:color="000000"/>
              <w:right w:val="single" w:sz="4" w:space="0" w:color="000000"/>
            </w:tcBorders>
            <w:shd w:val="clear" w:color="auto" w:fill="D9D9D9"/>
          </w:tcPr>
          <w:p w:rsidR="008A4294" w:rsidRDefault="00D67304">
            <w:pPr>
              <w:spacing w:line="240" w:lineRule="auto"/>
              <w:ind w:left="-71"/>
              <w:jc w:val="center"/>
              <w:rPr>
                <w:rFonts w:ascii="Calibri" w:hAnsi="Calibri" w:cs="Calibri"/>
                <w:b/>
                <w:bCs/>
                <w:color w:val="000000" w:themeColor="text1"/>
                <w:sz w:val="18"/>
                <w:szCs w:val="18"/>
              </w:rPr>
            </w:pPr>
            <w:r>
              <w:rPr>
                <w:rFonts w:ascii="Calibri" w:hAnsi="Calibri" w:cs="Calibri"/>
                <w:b/>
                <w:bCs/>
                <w:color w:val="000000" w:themeColor="text1"/>
                <w:sz w:val="18"/>
                <w:szCs w:val="18"/>
              </w:rPr>
              <w:t>Wymagane minimalne parametry techniczne</w:t>
            </w:r>
          </w:p>
        </w:tc>
      </w:tr>
      <w:tr w:rsidR="008A4294">
        <w:trPr>
          <w:trHeight w:val="180"/>
        </w:trPr>
        <w:tc>
          <w:tcPr>
            <w:tcW w:w="567" w:type="dxa"/>
            <w:tcBorders>
              <w:top w:val="single" w:sz="4" w:space="0" w:color="000000"/>
              <w:left w:val="single" w:sz="4" w:space="0" w:color="000000"/>
              <w:bottom w:val="single" w:sz="4" w:space="0" w:color="000000"/>
            </w:tcBorders>
            <w:shd w:val="clear" w:color="auto" w:fill="D9D9D9"/>
          </w:tcPr>
          <w:p w:rsidR="008A4294" w:rsidRDefault="00D67304">
            <w:pPr>
              <w:spacing w:line="240" w:lineRule="auto"/>
              <w:jc w:val="center"/>
              <w:rPr>
                <w:rFonts w:ascii="Calibri" w:hAnsi="Calibri" w:cs="Calibri"/>
                <w:b/>
                <w:bCs/>
                <w:color w:val="000000" w:themeColor="text1"/>
                <w:sz w:val="18"/>
                <w:szCs w:val="18"/>
              </w:rPr>
            </w:pPr>
            <w:r>
              <w:rPr>
                <w:rFonts w:ascii="Calibri" w:hAnsi="Calibri" w:cs="Calibri"/>
                <w:b/>
                <w:bCs/>
                <w:color w:val="000000" w:themeColor="text1"/>
                <w:sz w:val="18"/>
                <w:szCs w:val="18"/>
              </w:rPr>
              <w:t>1</w:t>
            </w:r>
          </w:p>
        </w:tc>
        <w:tc>
          <w:tcPr>
            <w:tcW w:w="2051" w:type="dxa"/>
            <w:tcBorders>
              <w:top w:val="single" w:sz="4" w:space="0" w:color="000000"/>
              <w:left w:val="single" w:sz="4" w:space="0" w:color="000000"/>
              <w:bottom w:val="single" w:sz="4" w:space="0" w:color="000000"/>
            </w:tcBorders>
            <w:shd w:val="clear" w:color="auto" w:fill="D9D9D9"/>
          </w:tcPr>
          <w:p w:rsidR="008A4294" w:rsidRDefault="00D67304">
            <w:pPr>
              <w:spacing w:line="240" w:lineRule="auto"/>
              <w:jc w:val="center"/>
              <w:rPr>
                <w:rFonts w:ascii="Calibri" w:hAnsi="Calibri" w:cs="Calibri"/>
                <w:b/>
                <w:bCs/>
                <w:color w:val="000000" w:themeColor="text1"/>
                <w:sz w:val="18"/>
                <w:szCs w:val="18"/>
              </w:rPr>
            </w:pPr>
            <w:r>
              <w:rPr>
                <w:rFonts w:ascii="Calibri" w:hAnsi="Calibri" w:cs="Calibri"/>
                <w:b/>
                <w:bCs/>
                <w:color w:val="000000" w:themeColor="text1"/>
                <w:sz w:val="18"/>
                <w:szCs w:val="18"/>
              </w:rPr>
              <w:t>2</w:t>
            </w:r>
          </w:p>
        </w:tc>
        <w:tc>
          <w:tcPr>
            <w:tcW w:w="7163" w:type="dxa"/>
            <w:tcBorders>
              <w:top w:val="single" w:sz="6" w:space="0" w:color="000000"/>
              <w:left w:val="single" w:sz="4" w:space="0" w:color="000000"/>
              <w:bottom w:val="single" w:sz="6" w:space="0" w:color="000000"/>
              <w:right w:val="single" w:sz="4" w:space="0" w:color="000000"/>
            </w:tcBorders>
            <w:shd w:val="clear" w:color="auto" w:fill="D9D9D9"/>
          </w:tcPr>
          <w:p w:rsidR="008A4294" w:rsidRDefault="00D67304">
            <w:pPr>
              <w:spacing w:line="240" w:lineRule="auto"/>
              <w:ind w:left="-71"/>
              <w:jc w:val="center"/>
              <w:rPr>
                <w:rFonts w:ascii="Calibri" w:hAnsi="Calibri" w:cs="Calibri"/>
                <w:b/>
                <w:bCs/>
                <w:color w:val="000000" w:themeColor="text1"/>
                <w:sz w:val="18"/>
                <w:szCs w:val="18"/>
              </w:rPr>
            </w:pPr>
            <w:r>
              <w:rPr>
                <w:rFonts w:ascii="Calibri" w:hAnsi="Calibri" w:cs="Calibri"/>
                <w:b/>
                <w:bCs/>
                <w:color w:val="000000" w:themeColor="text1"/>
                <w:sz w:val="18"/>
                <w:szCs w:val="18"/>
              </w:rPr>
              <w:t>3</w:t>
            </w:r>
          </w:p>
        </w:tc>
      </w:tr>
      <w:tr w:rsidR="008A4294">
        <w:trPr>
          <w:trHeight w:val="935"/>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jc w:val="center"/>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bCs/>
                <w:color w:val="000000" w:themeColor="text1"/>
                <w:sz w:val="18"/>
                <w:szCs w:val="18"/>
              </w:rPr>
            </w:pPr>
            <w:r>
              <w:rPr>
                <w:rFonts w:ascii="Calibri" w:hAnsi="Calibri" w:cs="Calibri"/>
                <w:color w:val="000000" w:themeColor="text1"/>
                <w:sz w:val="18"/>
                <w:szCs w:val="18"/>
              </w:rPr>
              <w:t>Typ</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pStyle w:val="Akapitzlist"/>
              <w:numPr>
                <w:ilvl w:val="0"/>
                <w:numId w:val="12"/>
              </w:numPr>
              <w:spacing w:after="0" w:line="240" w:lineRule="auto"/>
              <w:ind w:left="359"/>
              <w:rPr>
                <w:rFonts w:cstheme="minorHAnsi"/>
                <w:color w:val="000000" w:themeColor="text1"/>
                <w:sz w:val="18"/>
                <w:szCs w:val="18"/>
              </w:rPr>
            </w:pPr>
            <w:r>
              <w:rPr>
                <w:rFonts w:cstheme="minorHAnsi"/>
                <w:color w:val="000000" w:themeColor="text1"/>
                <w:sz w:val="18"/>
                <w:szCs w:val="18"/>
              </w:rPr>
              <w:t>Przełącznik sieciowy zarządzalny rack L2 Gigabit Ethernet z obsługą funkcjonalności PoE</w:t>
            </w:r>
          </w:p>
          <w:p w:rsidR="008A4294" w:rsidRDefault="00D67304">
            <w:pPr>
              <w:pStyle w:val="Akapitzlist"/>
              <w:numPr>
                <w:ilvl w:val="0"/>
                <w:numId w:val="12"/>
              </w:numPr>
              <w:spacing w:after="0" w:line="240" w:lineRule="auto"/>
              <w:ind w:left="359"/>
              <w:rPr>
                <w:rFonts w:cstheme="minorHAnsi"/>
                <w:color w:val="000000" w:themeColor="text1"/>
                <w:sz w:val="18"/>
                <w:szCs w:val="18"/>
              </w:rPr>
            </w:pPr>
            <w:r>
              <w:rPr>
                <w:rFonts w:cstheme="minorHAnsi"/>
                <w:bCs/>
                <w:color w:val="000000" w:themeColor="text1"/>
                <w:sz w:val="18"/>
                <w:szCs w:val="18"/>
              </w:rPr>
              <w:t>W ofercie wymagane jest podanie modelu, symbolu oraz producenta oraz podanie wszystkich licencji które będą dostarczone wraz z oferowanym urządzeniem celem spełnienia poniższych parametrów.</w:t>
            </w:r>
          </w:p>
        </w:tc>
      </w:tr>
      <w:tr w:rsidR="008A4294">
        <w:trPr>
          <w:trHeight w:val="935"/>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jc w:val="center"/>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rPr>
            </w:pPr>
            <w:r>
              <w:rPr>
                <w:rFonts w:ascii="Calibri" w:hAnsi="Calibri" w:cs="Calibri"/>
                <w:color w:val="000000" w:themeColor="text1"/>
                <w:sz w:val="18"/>
                <w:szCs w:val="18"/>
              </w:rPr>
              <w:t>Parametry fizyczne</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pStyle w:val="Akapitzlist"/>
              <w:numPr>
                <w:ilvl w:val="0"/>
                <w:numId w:val="12"/>
              </w:numPr>
              <w:spacing w:after="0" w:line="240" w:lineRule="auto"/>
              <w:ind w:left="359"/>
              <w:rPr>
                <w:rFonts w:cstheme="minorHAnsi"/>
                <w:color w:val="000000" w:themeColor="text1"/>
                <w:sz w:val="18"/>
                <w:szCs w:val="18"/>
              </w:rPr>
            </w:pPr>
            <w:r>
              <w:rPr>
                <w:rFonts w:cstheme="minorHAnsi"/>
                <w:bCs/>
                <w:color w:val="000000" w:themeColor="text1"/>
                <w:sz w:val="18"/>
                <w:szCs w:val="18"/>
              </w:rPr>
              <w:t>Wysokość urządzenia nie większa niż 1U</w:t>
            </w:r>
          </w:p>
          <w:p w:rsidR="008A4294" w:rsidRDefault="00D67304">
            <w:pPr>
              <w:pStyle w:val="Akapitzlist"/>
              <w:numPr>
                <w:ilvl w:val="0"/>
                <w:numId w:val="12"/>
              </w:numPr>
              <w:spacing w:after="0" w:line="240" w:lineRule="auto"/>
              <w:ind w:left="359"/>
              <w:rPr>
                <w:rFonts w:cstheme="minorHAnsi"/>
                <w:color w:val="000000" w:themeColor="text1"/>
                <w:sz w:val="18"/>
                <w:szCs w:val="18"/>
              </w:rPr>
            </w:pPr>
            <w:r>
              <w:rPr>
                <w:rFonts w:cstheme="minorHAnsi"/>
                <w:bCs/>
                <w:color w:val="000000" w:themeColor="text1"/>
                <w:sz w:val="18"/>
                <w:szCs w:val="18"/>
              </w:rPr>
              <w:t>Obudowa pozwalająca na instalację w szafie typu rack 19” – należy dostarczyć wszelkie niezbędne elementy umożliwiające montaż przełącznika w szafie rack 19”.</w:t>
            </w:r>
          </w:p>
        </w:tc>
      </w:tr>
      <w:tr w:rsidR="008A4294">
        <w:trPr>
          <w:trHeight w:val="935"/>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jc w:val="center"/>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rPr>
            </w:pPr>
            <w:r>
              <w:rPr>
                <w:rFonts w:ascii="Calibri" w:hAnsi="Calibri" w:cs="Calibri"/>
                <w:color w:val="000000" w:themeColor="text1"/>
                <w:sz w:val="18"/>
                <w:szCs w:val="18"/>
              </w:rPr>
              <w:t>Porty</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pStyle w:val="Akapitzlist"/>
              <w:numPr>
                <w:ilvl w:val="0"/>
                <w:numId w:val="12"/>
              </w:numPr>
              <w:spacing w:after="200" w:line="240" w:lineRule="auto"/>
              <w:ind w:left="359"/>
              <w:rPr>
                <w:rFonts w:cstheme="minorHAnsi"/>
                <w:color w:val="000000" w:themeColor="text1"/>
                <w:sz w:val="18"/>
                <w:szCs w:val="18"/>
              </w:rPr>
            </w:pPr>
            <w:r>
              <w:rPr>
                <w:rFonts w:cstheme="minorHAnsi"/>
                <w:color w:val="000000" w:themeColor="text1"/>
                <w:sz w:val="18"/>
                <w:szCs w:val="18"/>
              </w:rPr>
              <w:t>Minimum 48 portów 10/100/1000BaseT PoE / PoE+</w:t>
            </w:r>
          </w:p>
          <w:p w:rsidR="008A4294" w:rsidRDefault="00D67304">
            <w:pPr>
              <w:pStyle w:val="Akapitzlist"/>
              <w:numPr>
                <w:ilvl w:val="0"/>
                <w:numId w:val="12"/>
              </w:numPr>
              <w:spacing w:after="200" w:line="240" w:lineRule="auto"/>
              <w:ind w:left="359"/>
              <w:rPr>
                <w:rFonts w:cstheme="minorHAnsi"/>
                <w:color w:val="000000" w:themeColor="text1"/>
                <w:sz w:val="18"/>
                <w:szCs w:val="18"/>
              </w:rPr>
            </w:pPr>
            <w:r>
              <w:rPr>
                <w:rFonts w:cstheme="minorHAnsi"/>
                <w:color w:val="000000" w:themeColor="text1"/>
                <w:sz w:val="18"/>
                <w:szCs w:val="18"/>
              </w:rPr>
              <w:t xml:space="preserve">Minimum 2 dodatkowe porty </w:t>
            </w:r>
            <w:proofErr w:type="spellStart"/>
            <w:r>
              <w:rPr>
                <w:rFonts w:cstheme="minorHAnsi"/>
                <w:color w:val="000000" w:themeColor="text1"/>
                <w:sz w:val="18"/>
                <w:szCs w:val="18"/>
              </w:rPr>
              <w:t>uplink</w:t>
            </w:r>
            <w:proofErr w:type="spellEnd"/>
            <w:r>
              <w:rPr>
                <w:rFonts w:cstheme="minorHAnsi"/>
                <w:color w:val="000000" w:themeColor="text1"/>
                <w:sz w:val="18"/>
                <w:szCs w:val="18"/>
              </w:rPr>
              <w:t xml:space="preserve"> 10 Gigabit Ethernet SFP+ do podłączenia np. z urządzeniami warstwy dystrybucyjnej.</w:t>
            </w:r>
          </w:p>
          <w:p w:rsidR="008A4294" w:rsidRDefault="00D67304">
            <w:pPr>
              <w:pStyle w:val="Akapitzlist"/>
              <w:numPr>
                <w:ilvl w:val="0"/>
                <w:numId w:val="12"/>
              </w:numPr>
              <w:spacing w:after="0" w:line="240" w:lineRule="auto"/>
              <w:ind w:left="359"/>
              <w:rPr>
                <w:rFonts w:cstheme="minorHAnsi"/>
                <w:color w:val="000000" w:themeColor="text1"/>
                <w:sz w:val="18"/>
                <w:szCs w:val="18"/>
              </w:rPr>
            </w:pPr>
            <w:r>
              <w:rPr>
                <w:rFonts w:cstheme="minorHAnsi"/>
                <w:color w:val="000000" w:themeColor="text1"/>
                <w:sz w:val="18"/>
                <w:szCs w:val="18"/>
              </w:rPr>
              <w:t>Porty SFP+ muszą umożliwiać ich obsadzanie wkładkami: 1000Base-LX/LH, 10GBASE-LR, 10GBASE-SR oraz modułów CWDM – zależnie od potrzeb zamawiającego.</w:t>
            </w:r>
          </w:p>
        </w:tc>
      </w:tr>
      <w:tr w:rsidR="008A4294">
        <w:trPr>
          <w:trHeight w:val="935"/>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jc w:val="center"/>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rPr>
            </w:pPr>
            <w:r>
              <w:rPr>
                <w:rFonts w:ascii="Calibri" w:hAnsi="Calibri" w:cs="Calibri"/>
                <w:color w:val="000000" w:themeColor="text1"/>
                <w:sz w:val="18"/>
                <w:szCs w:val="18"/>
              </w:rPr>
              <w:t>PoE</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pStyle w:val="Akapitzlist"/>
              <w:numPr>
                <w:ilvl w:val="0"/>
                <w:numId w:val="12"/>
              </w:numPr>
              <w:spacing w:after="200" w:line="240" w:lineRule="auto"/>
              <w:ind w:left="359"/>
              <w:rPr>
                <w:rFonts w:cstheme="minorHAnsi"/>
                <w:color w:val="000000" w:themeColor="text1"/>
                <w:sz w:val="18"/>
                <w:szCs w:val="18"/>
              </w:rPr>
            </w:pPr>
            <w:r>
              <w:rPr>
                <w:rFonts w:cstheme="minorHAnsi"/>
                <w:color w:val="000000" w:themeColor="text1"/>
                <w:sz w:val="18"/>
                <w:szCs w:val="18"/>
              </w:rPr>
              <w:t>Wymagane jest, aby wszystkie porty dostępowe 10/100/1000 zapewniały zasilanie PoE nie mniej niż 15,4 W na port (zgodnie z 802.3af) oraz PoE+ nie mniej niż 30 W na port (zgodnie z 802.3at)</w:t>
            </w:r>
          </w:p>
          <w:p w:rsidR="008A4294" w:rsidRDefault="00D67304">
            <w:pPr>
              <w:pStyle w:val="Akapitzlist"/>
              <w:numPr>
                <w:ilvl w:val="0"/>
                <w:numId w:val="12"/>
              </w:numPr>
              <w:spacing w:after="200" w:line="240" w:lineRule="auto"/>
              <w:ind w:left="359"/>
              <w:rPr>
                <w:rFonts w:cstheme="minorHAnsi"/>
                <w:color w:val="000000" w:themeColor="text1"/>
                <w:sz w:val="18"/>
                <w:szCs w:val="18"/>
              </w:rPr>
            </w:pPr>
            <w:r>
              <w:rPr>
                <w:rFonts w:cstheme="minorHAnsi"/>
                <w:color w:val="000000" w:themeColor="text1"/>
                <w:sz w:val="18"/>
                <w:szCs w:val="18"/>
              </w:rPr>
              <w:t>Zasilacz urządzenia musi być tak dobrany, aby zapewnić w sumie minimum 740W dla urządzeń podłączonych do portów PoE/PoE+ oferowanego przełącznika</w:t>
            </w:r>
          </w:p>
        </w:tc>
      </w:tr>
      <w:tr w:rsidR="008A4294">
        <w:trPr>
          <w:trHeight w:val="831"/>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rPr>
            </w:pPr>
            <w:r>
              <w:rPr>
                <w:rFonts w:ascii="Calibri" w:hAnsi="Calibri" w:cs="Calibri"/>
                <w:color w:val="000000" w:themeColor="text1"/>
                <w:sz w:val="18"/>
                <w:szCs w:val="18"/>
                <w:shd w:val="clear" w:color="auto" w:fill="FFFFFF"/>
              </w:rPr>
              <w:t>Łączenie w stos</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spacing w:line="240" w:lineRule="auto"/>
              <w:contextualSpacing/>
              <w:rPr>
                <w:rFonts w:cstheme="minorHAnsi"/>
                <w:color w:val="000000" w:themeColor="text1"/>
                <w:sz w:val="18"/>
                <w:szCs w:val="18"/>
              </w:rPr>
            </w:pPr>
            <w:bookmarkStart w:id="1" w:name="OLE_LINK61"/>
            <w:bookmarkStart w:id="2" w:name="OLE_LINK62"/>
            <w:bookmarkStart w:id="3" w:name="OLE_LINK59"/>
            <w:bookmarkStart w:id="4" w:name="OLE_LINK60"/>
            <w:r>
              <w:rPr>
                <w:rFonts w:cstheme="minorHAnsi"/>
                <w:color w:val="000000" w:themeColor="text1"/>
                <w:sz w:val="18"/>
                <w:szCs w:val="18"/>
              </w:rPr>
              <w:t>Możliwość łączenia w stos (z</w:t>
            </w:r>
            <w:r>
              <w:rPr>
                <w:sz w:val="18"/>
                <w:szCs w:val="18"/>
              </w:rPr>
              <w:t xml:space="preserve">amawiający dopuszcza </w:t>
            </w:r>
            <w:proofErr w:type="spellStart"/>
            <w:r>
              <w:rPr>
                <w:sz w:val="18"/>
                <w:szCs w:val="18"/>
              </w:rPr>
              <w:t>stackowanie</w:t>
            </w:r>
            <w:proofErr w:type="spellEnd"/>
            <w:r>
              <w:rPr>
                <w:sz w:val="18"/>
                <w:szCs w:val="18"/>
              </w:rPr>
              <w:t xml:space="preserve"> po portach </w:t>
            </w:r>
            <w:proofErr w:type="spellStart"/>
            <w:r>
              <w:rPr>
                <w:sz w:val="18"/>
                <w:szCs w:val="18"/>
              </w:rPr>
              <w:t>uplink</w:t>
            </w:r>
            <w:proofErr w:type="spellEnd"/>
            <w:r>
              <w:rPr>
                <w:sz w:val="18"/>
                <w:szCs w:val="18"/>
              </w:rPr>
              <w:t xml:space="preserve"> pod warunkiem, że będą to porty dodatkowe w stosunku do wymaganych w pkt. 3) </w:t>
            </w:r>
            <w:r>
              <w:rPr>
                <w:rFonts w:cstheme="minorHAnsi"/>
                <w:color w:val="000000" w:themeColor="text1"/>
                <w:sz w:val="18"/>
                <w:szCs w:val="18"/>
              </w:rPr>
              <w:t>przełączników z zapewnieniem następujących funkcjonalności:</w:t>
            </w:r>
          </w:p>
          <w:p w:rsidR="008A4294" w:rsidRDefault="00D67304">
            <w:pPr>
              <w:pStyle w:val="Akapitzlist"/>
              <w:numPr>
                <w:ilvl w:val="0"/>
                <w:numId w:val="12"/>
              </w:numPr>
              <w:spacing w:after="200" w:line="240" w:lineRule="auto"/>
              <w:ind w:left="359"/>
              <w:rPr>
                <w:rFonts w:cstheme="minorHAnsi"/>
                <w:color w:val="000000" w:themeColor="text1"/>
                <w:sz w:val="18"/>
                <w:szCs w:val="18"/>
              </w:rPr>
            </w:pPr>
            <w:r>
              <w:rPr>
                <w:rFonts w:cstheme="minorHAnsi"/>
                <w:color w:val="000000" w:themeColor="text1"/>
                <w:sz w:val="18"/>
                <w:szCs w:val="18"/>
              </w:rPr>
              <w:t>Możliwość połączenia w stos co najmniej 8 urządzeń</w:t>
            </w:r>
          </w:p>
          <w:p w:rsidR="008A4294" w:rsidRDefault="00D67304">
            <w:pPr>
              <w:pStyle w:val="Akapitzlist"/>
              <w:numPr>
                <w:ilvl w:val="0"/>
                <w:numId w:val="12"/>
              </w:numPr>
              <w:spacing w:after="200" w:line="240" w:lineRule="auto"/>
              <w:ind w:left="359"/>
              <w:rPr>
                <w:rFonts w:cstheme="minorHAnsi"/>
                <w:color w:val="000000" w:themeColor="text1"/>
                <w:sz w:val="18"/>
                <w:szCs w:val="18"/>
              </w:rPr>
            </w:pPr>
            <w:r>
              <w:rPr>
                <w:rFonts w:cstheme="minorHAnsi"/>
                <w:color w:val="000000" w:themeColor="text1"/>
                <w:sz w:val="18"/>
                <w:szCs w:val="18"/>
              </w:rPr>
              <w:t>Zarządzanie poprzez jeden adres IP (zarządzalny jak pojedyncze urządzenie)</w:t>
            </w:r>
          </w:p>
          <w:p w:rsidR="008A4294" w:rsidRDefault="00D67304">
            <w:pPr>
              <w:pStyle w:val="Akapitzlist"/>
              <w:numPr>
                <w:ilvl w:val="0"/>
                <w:numId w:val="12"/>
              </w:numPr>
              <w:spacing w:after="200" w:line="240" w:lineRule="auto"/>
              <w:ind w:left="359"/>
              <w:rPr>
                <w:rFonts w:cstheme="minorHAnsi"/>
                <w:color w:val="000000" w:themeColor="text1"/>
                <w:sz w:val="18"/>
                <w:szCs w:val="18"/>
              </w:rPr>
            </w:pPr>
            <w:r>
              <w:rPr>
                <w:rFonts w:cstheme="minorHAnsi"/>
                <w:color w:val="000000" w:themeColor="text1"/>
                <w:sz w:val="18"/>
                <w:szCs w:val="18"/>
              </w:rPr>
              <w:t xml:space="preserve">Przepustowość w ramach stosu min. 80 </w:t>
            </w:r>
            <w:proofErr w:type="spellStart"/>
            <w:r>
              <w:rPr>
                <w:rFonts w:cstheme="minorHAnsi"/>
                <w:color w:val="000000" w:themeColor="text1"/>
                <w:sz w:val="18"/>
                <w:szCs w:val="18"/>
              </w:rPr>
              <w:t>Gb</w:t>
            </w:r>
            <w:proofErr w:type="spellEnd"/>
            <w:r>
              <w:rPr>
                <w:rFonts w:cstheme="minorHAnsi"/>
                <w:color w:val="000000" w:themeColor="text1"/>
                <w:sz w:val="18"/>
                <w:szCs w:val="18"/>
              </w:rPr>
              <w:t>/s</w:t>
            </w:r>
          </w:p>
          <w:p w:rsidR="008A4294" w:rsidRDefault="00D67304">
            <w:pPr>
              <w:spacing w:line="240" w:lineRule="auto"/>
              <w:contextualSpacing/>
              <w:rPr>
                <w:rFonts w:cstheme="minorHAnsi"/>
                <w:color w:val="000000" w:themeColor="text1"/>
                <w:sz w:val="18"/>
                <w:szCs w:val="18"/>
              </w:rPr>
            </w:pPr>
            <w:r>
              <w:rPr>
                <w:rFonts w:cstheme="minorHAnsi"/>
                <w:color w:val="000000" w:themeColor="text1"/>
                <w:sz w:val="18"/>
                <w:szCs w:val="18"/>
              </w:rPr>
              <w:t xml:space="preserve">Jeżeli realizacja funkcji </w:t>
            </w:r>
            <w:proofErr w:type="spellStart"/>
            <w:r>
              <w:rPr>
                <w:rFonts w:cstheme="minorHAnsi"/>
                <w:color w:val="000000" w:themeColor="text1"/>
                <w:sz w:val="18"/>
                <w:szCs w:val="18"/>
              </w:rPr>
              <w:t>stackowania</w:t>
            </w:r>
            <w:proofErr w:type="spellEnd"/>
            <w:r>
              <w:rPr>
                <w:rFonts w:cstheme="minorHAnsi"/>
                <w:color w:val="000000" w:themeColor="text1"/>
                <w:sz w:val="18"/>
                <w:szCs w:val="18"/>
              </w:rPr>
              <w:t xml:space="preserve"> wymaga dodatkowych modułów/kabli/licencji itp. ich dostarczenie w ramach tego postępowania nie jest wymagane.</w:t>
            </w:r>
            <w:bookmarkEnd w:id="1"/>
            <w:bookmarkEnd w:id="2"/>
            <w:bookmarkEnd w:id="3"/>
            <w:bookmarkEnd w:id="4"/>
          </w:p>
        </w:tc>
      </w:tr>
      <w:tr w:rsidR="008A4294">
        <w:trPr>
          <w:trHeight w:val="700"/>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shd w:val="clear" w:color="auto" w:fill="FFFFFF"/>
              </w:rPr>
            </w:pPr>
            <w:r>
              <w:rPr>
                <w:rFonts w:ascii="Calibri" w:hAnsi="Calibri" w:cs="Calibri"/>
                <w:color w:val="000000" w:themeColor="text1"/>
                <w:sz w:val="18"/>
                <w:szCs w:val="18"/>
                <w:shd w:val="clear" w:color="auto" w:fill="FFFFFF"/>
              </w:rPr>
              <w:t>Wydajność</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pStyle w:val="Akapitzlist"/>
              <w:numPr>
                <w:ilvl w:val="0"/>
                <w:numId w:val="13"/>
              </w:numPr>
              <w:spacing w:after="200" w:line="240" w:lineRule="auto"/>
              <w:ind w:left="359"/>
              <w:rPr>
                <w:rFonts w:cstheme="minorHAnsi"/>
                <w:color w:val="000000" w:themeColor="text1"/>
                <w:sz w:val="18"/>
                <w:szCs w:val="18"/>
              </w:rPr>
            </w:pPr>
            <w:r>
              <w:rPr>
                <w:rFonts w:cstheme="minorHAnsi"/>
                <w:color w:val="000000" w:themeColor="text1"/>
                <w:sz w:val="18"/>
                <w:szCs w:val="18"/>
              </w:rPr>
              <w:t xml:space="preserve">Przepustowość zapewniająca wydajność </w:t>
            </w:r>
            <w:proofErr w:type="spellStart"/>
            <w:r>
              <w:rPr>
                <w:rFonts w:cstheme="minorHAnsi"/>
                <w:color w:val="000000" w:themeColor="text1"/>
                <w:sz w:val="18"/>
                <w:szCs w:val="18"/>
              </w:rPr>
              <w:t>linerate</w:t>
            </w:r>
            <w:proofErr w:type="spellEnd"/>
            <w:r>
              <w:rPr>
                <w:rFonts w:cstheme="minorHAnsi"/>
                <w:color w:val="000000" w:themeColor="text1"/>
                <w:sz w:val="18"/>
                <w:szCs w:val="18"/>
              </w:rPr>
              <w:t xml:space="preserve"> na wszystkich portach</w:t>
            </w:r>
          </w:p>
          <w:p w:rsidR="008A4294" w:rsidRDefault="00D67304">
            <w:pPr>
              <w:pStyle w:val="Akapitzlist"/>
              <w:numPr>
                <w:ilvl w:val="0"/>
                <w:numId w:val="13"/>
              </w:numPr>
              <w:spacing w:after="200" w:line="240" w:lineRule="auto"/>
              <w:ind w:left="359"/>
              <w:rPr>
                <w:rFonts w:cstheme="minorHAnsi"/>
                <w:color w:val="000000" w:themeColor="text1"/>
                <w:sz w:val="18"/>
                <w:szCs w:val="18"/>
              </w:rPr>
            </w:pPr>
            <w:r>
              <w:rPr>
                <w:rFonts w:cstheme="minorHAnsi"/>
                <w:color w:val="000000" w:themeColor="text1"/>
                <w:sz w:val="18"/>
                <w:szCs w:val="18"/>
              </w:rPr>
              <w:t xml:space="preserve">Prędkość przesyłania dla pakietów 64-bajtowych minimum 130 </w:t>
            </w:r>
            <w:proofErr w:type="spellStart"/>
            <w:r>
              <w:rPr>
                <w:rFonts w:cstheme="minorHAnsi"/>
                <w:color w:val="000000" w:themeColor="text1"/>
                <w:sz w:val="18"/>
                <w:szCs w:val="18"/>
              </w:rPr>
              <w:t>Mpps</w:t>
            </w:r>
            <w:proofErr w:type="spellEnd"/>
          </w:p>
        </w:tc>
      </w:tr>
      <w:tr w:rsidR="008A4294">
        <w:trPr>
          <w:trHeight w:val="481"/>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shd w:val="clear" w:color="auto" w:fill="FFFFFF"/>
              </w:rPr>
            </w:pPr>
            <w:r>
              <w:rPr>
                <w:rFonts w:ascii="Calibri" w:hAnsi="Calibri" w:cs="Calibri"/>
                <w:color w:val="000000" w:themeColor="text1"/>
                <w:sz w:val="18"/>
                <w:szCs w:val="18"/>
                <w:shd w:val="clear" w:color="auto" w:fill="FFFFFF"/>
              </w:rPr>
              <w:t>Pamięć</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pStyle w:val="Akapitzlist"/>
              <w:numPr>
                <w:ilvl w:val="0"/>
                <w:numId w:val="13"/>
              </w:numPr>
              <w:spacing w:after="200" w:line="240" w:lineRule="auto"/>
              <w:ind w:left="359"/>
              <w:rPr>
                <w:rFonts w:cstheme="minorHAnsi"/>
                <w:color w:val="000000" w:themeColor="text1"/>
                <w:sz w:val="18"/>
                <w:szCs w:val="18"/>
              </w:rPr>
            </w:pPr>
            <w:r>
              <w:rPr>
                <w:rFonts w:cstheme="minorHAnsi"/>
                <w:color w:val="000000" w:themeColor="text1"/>
                <w:sz w:val="18"/>
                <w:szCs w:val="18"/>
              </w:rPr>
              <w:t xml:space="preserve">Urządzenie musi posiadać min. 2 GB pamięci DRAM i min. 512 MB pamięci </w:t>
            </w:r>
            <w:proofErr w:type="spellStart"/>
            <w:r>
              <w:rPr>
                <w:rFonts w:cstheme="minorHAnsi"/>
                <w:color w:val="000000" w:themeColor="text1"/>
                <w:sz w:val="18"/>
                <w:szCs w:val="18"/>
              </w:rPr>
              <w:t>flash</w:t>
            </w:r>
            <w:proofErr w:type="spellEnd"/>
          </w:p>
        </w:tc>
      </w:tr>
      <w:tr w:rsidR="008A4294">
        <w:trPr>
          <w:trHeight w:val="481"/>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shd w:val="clear" w:color="auto" w:fill="FFFFFF"/>
              </w:rPr>
            </w:pPr>
            <w:r>
              <w:rPr>
                <w:rFonts w:ascii="Calibri" w:hAnsi="Calibri" w:cs="Calibri"/>
                <w:color w:val="000000" w:themeColor="text1"/>
                <w:sz w:val="18"/>
                <w:szCs w:val="18"/>
                <w:shd w:val="clear" w:color="auto" w:fill="FFFFFF"/>
              </w:rPr>
              <w:t>Wielkość tablicy routingu</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pStyle w:val="Akapitzlist"/>
              <w:numPr>
                <w:ilvl w:val="0"/>
                <w:numId w:val="13"/>
              </w:numPr>
              <w:spacing w:after="200" w:line="240" w:lineRule="auto"/>
              <w:ind w:left="359"/>
              <w:rPr>
                <w:rFonts w:cstheme="minorHAnsi"/>
                <w:color w:val="000000" w:themeColor="text1"/>
                <w:sz w:val="18"/>
                <w:szCs w:val="18"/>
              </w:rPr>
            </w:pPr>
            <w:r>
              <w:rPr>
                <w:rFonts w:cstheme="minorHAnsi"/>
                <w:color w:val="000000" w:themeColor="text1"/>
                <w:sz w:val="18"/>
                <w:szCs w:val="18"/>
              </w:rPr>
              <w:t>Min. 3000 tras IPv4</w:t>
            </w:r>
          </w:p>
          <w:p w:rsidR="008A4294" w:rsidRDefault="00D67304">
            <w:pPr>
              <w:pStyle w:val="Akapitzlist"/>
              <w:numPr>
                <w:ilvl w:val="0"/>
                <w:numId w:val="13"/>
              </w:numPr>
              <w:spacing w:after="200" w:line="240" w:lineRule="auto"/>
              <w:ind w:left="359"/>
              <w:rPr>
                <w:rFonts w:cstheme="minorHAnsi"/>
                <w:color w:val="000000" w:themeColor="text1"/>
                <w:sz w:val="18"/>
                <w:szCs w:val="18"/>
              </w:rPr>
            </w:pPr>
            <w:r>
              <w:rPr>
                <w:rFonts w:cstheme="minorHAnsi"/>
                <w:color w:val="000000" w:themeColor="text1"/>
                <w:sz w:val="18"/>
                <w:szCs w:val="18"/>
              </w:rPr>
              <w:t>Min. 1500 tras IPv6</w:t>
            </w:r>
          </w:p>
        </w:tc>
      </w:tr>
      <w:tr w:rsidR="008A4294">
        <w:trPr>
          <w:trHeight w:val="693"/>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shd w:val="clear" w:color="auto" w:fill="FFFFFF"/>
              </w:rPr>
            </w:pPr>
            <w:r>
              <w:rPr>
                <w:rFonts w:ascii="Calibri" w:hAnsi="Calibri" w:cs="Calibri"/>
                <w:color w:val="000000" w:themeColor="text1"/>
                <w:sz w:val="18"/>
                <w:szCs w:val="18"/>
                <w:shd w:val="clear" w:color="auto" w:fill="FFFFFF"/>
              </w:rPr>
              <w:t>Obsługa funkcjonalności, co najmniej</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pStyle w:val="Akapitzlist"/>
              <w:numPr>
                <w:ilvl w:val="0"/>
                <w:numId w:val="11"/>
              </w:numPr>
              <w:spacing w:after="200" w:line="240" w:lineRule="auto"/>
              <w:ind w:left="359"/>
              <w:rPr>
                <w:rFonts w:cstheme="minorHAnsi"/>
                <w:color w:val="000000" w:themeColor="text1"/>
                <w:sz w:val="18"/>
                <w:szCs w:val="18"/>
              </w:rPr>
            </w:pPr>
            <w:r>
              <w:rPr>
                <w:rFonts w:cstheme="minorHAnsi"/>
                <w:color w:val="000000" w:themeColor="text1"/>
                <w:sz w:val="18"/>
                <w:szCs w:val="18"/>
              </w:rPr>
              <w:t>Przełącznik obsługuje sieci VLAN zgodnie z IEEE 802.1Q w ilości nie mniejszej niż 4000</w:t>
            </w:r>
          </w:p>
          <w:p w:rsidR="008A4294" w:rsidRDefault="00D67304">
            <w:pPr>
              <w:pStyle w:val="Akapitzlist"/>
              <w:numPr>
                <w:ilvl w:val="0"/>
                <w:numId w:val="11"/>
              </w:numPr>
              <w:spacing w:after="200" w:line="240" w:lineRule="auto"/>
              <w:ind w:left="359"/>
              <w:rPr>
                <w:rFonts w:cstheme="minorHAnsi"/>
                <w:color w:val="000000" w:themeColor="text1"/>
                <w:sz w:val="18"/>
                <w:szCs w:val="18"/>
              </w:rPr>
            </w:pPr>
            <w:r>
              <w:rPr>
                <w:rFonts w:cstheme="minorHAnsi"/>
                <w:color w:val="000000" w:themeColor="text1"/>
                <w:sz w:val="18"/>
                <w:szCs w:val="18"/>
              </w:rPr>
              <w:t xml:space="preserve">Wielkość tablicy MAC adresów co najmniej 16000 </w:t>
            </w:r>
          </w:p>
          <w:p w:rsidR="008A4294" w:rsidRDefault="00D67304">
            <w:pPr>
              <w:pStyle w:val="Akapitzlist"/>
              <w:numPr>
                <w:ilvl w:val="0"/>
                <w:numId w:val="11"/>
              </w:numPr>
              <w:spacing w:after="0" w:line="240" w:lineRule="auto"/>
              <w:ind w:left="359"/>
              <w:rPr>
                <w:rFonts w:cstheme="minorHAnsi"/>
                <w:color w:val="000000" w:themeColor="text1"/>
                <w:sz w:val="18"/>
                <w:szCs w:val="18"/>
              </w:rPr>
            </w:pPr>
            <w:r>
              <w:rPr>
                <w:rFonts w:ascii="Calibri" w:hAnsi="Calibri" w:cs="Calibri"/>
                <w:sz w:val="18"/>
                <w:szCs w:val="18"/>
                <w:shd w:val="clear" w:color="auto" w:fill="FFFFFF"/>
              </w:rPr>
              <w:t>Obsługa ramek JUMBO o wielkości co najmniej 9000 bajtów</w:t>
            </w:r>
          </w:p>
          <w:p w:rsidR="008A4294" w:rsidRDefault="00D67304">
            <w:pPr>
              <w:pStyle w:val="Akapitzlist"/>
              <w:numPr>
                <w:ilvl w:val="0"/>
                <w:numId w:val="11"/>
              </w:numPr>
              <w:spacing w:after="0" w:line="240" w:lineRule="auto"/>
              <w:ind w:left="359"/>
              <w:rPr>
                <w:rFonts w:cstheme="minorHAnsi"/>
                <w:color w:val="000000" w:themeColor="text1"/>
                <w:sz w:val="18"/>
                <w:szCs w:val="18"/>
              </w:rPr>
            </w:pPr>
            <w:proofErr w:type="spellStart"/>
            <w:r>
              <w:rPr>
                <w:rFonts w:cstheme="minorHAnsi"/>
                <w:color w:val="000000" w:themeColor="text1"/>
                <w:sz w:val="18"/>
                <w:szCs w:val="18"/>
                <w:lang w:val="en-US"/>
              </w:rPr>
              <w:t>Zgodność</w:t>
            </w:r>
            <w:proofErr w:type="spellEnd"/>
            <w:r>
              <w:rPr>
                <w:rFonts w:cstheme="minorHAnsi"/>
                <w:color w:val="000000" w:themeColor="text1"/>
                <w:sz w:val="18"/>
                <w:szCs w:val="18"/>
                <w:lang w:val="en-US"/>
              </w:rPr>
              <w:t xml:space="preserve"> ze </w:t>
            </w:r>
            <w:proofErr w:type="spellStart"/>
            <w:r>
              <w:rPr>
                <w:rFonts w:cstheme="minorHAnsi"/>
                <w:color w:val="000000" w:themeColor="text1"/>
                <w:sz w:val="18"/>
                <w:szCs w:val="18"/>
                <w:lang w:val="en-US"/>
              </w:rPr>
              <w:t>standardem</w:t>
            </w:r>
            <w:proofErr w:type="spellEnd"/>
            <w:r>
              <w:rPr>
                <w:rFonts w:cstheme="minorHAnsi"/>
                <w:color w:val="000000" w:themeColor="text1"/>
                <w:sz w:val="18"/>
                <w:szCs w:val="18"/>
                <w:lang w:val="en-US"/>
              </w:rPr>
              <w:t xml:space="preserve"> IEEE 802.3az EEE (Energy Efficient Ethernet)</w:t>
            </w:r>
          </w:p>
          <w:p w:rsidR="008A4294" w:rsidRDefault="00D67304">
            <w:pPr>
              <w:pStyle w:val="Akapitzlist"/>
              <w:numPr>
                <w:ilvl w:val="0"/>
                <w:numId w:val="11"/>
              </w:numPr>
              <w:spacing w:after="200" w:line="240" w:lineRule="auto"/>
              <w:ind w:left="359"/>
              <w:rPr>
                <w:rFonts w:cstheme="minorHAnsi"/>
                <w:color w:val="000000" w:themeColor="text1"/>
                <w:sz w:val="18"/>
                <w:szCs w:val="18"/>
              </w:rPr>
            </w:pPr>
            <w:r>
              <w:rPr>
                <w:rFonts w:cstheme="minorHAnsi"/>
                <w:bCs/>
                <w:color w:val="000000" w:themeColor="text1"/>
                <w:sz w:val="18"/>
                <w:szCs w:val="18"/>
              </w:rPr>
              <w:t>Obsługa protokołu NTP</w:t>
            </w:r>
          </w:p>
          <w:p w:rsidR="008A4294" w:rsidRDefault="00D67304">
            <w:pPr>
              <w:pStyle w:val="Akapitzlist"/>
              <w:numPr>
                <w:ilvl w:val="0"/>
                <w:numId w:val="11"/>
              </w:numPr>
              <w:spacing w:after="200" w:line="240" w:lineRule="auto"/>
              <w:ind w:left="359"/>
              <w:rPr>
                <w:rFonts w:cstheme="minorHAnsi"/>
                <w:color w:val="000000" w:themeColor="text1"/>
                <w:sz w:val="18"/>
                <w:szCs w:val="18"/>
              </w:rPr>
            </w:pPr>
            <w:proofErr w:type="spellStart"/>
            <w:r>
              <w:rPr>
                <w:rFonts w:cstheme="minorHAnsi"/>
                <w:color w:val="000000" w:themeColor="text1"/>
                <w:sz w:val="18"/>
                <w:szCs w:val="18"/>
                <w:lang w:val="en-US"/>
              </w:rPr>
              <w:t>Obsługa</w:t>
            </w:r>
            <w:proofErr w:type="spellEnd"/>
            <w:r>
              <w:rPr>
                <w:rFonts w:cstheme="minorHAnsi"/>
                <w:color w:val="000000" w:themeColor="text1"/>
                <w:sz w:val="18"/>
                <w:szCs w:val="18"/>
                <w:lang w:val="en-US"/>
              </w:rPr>
              <w:t xml:space="preserve"> </w:t>
            </w:r>
            <w:proofErr w:type="spellStart"/>
            <w:r>
              <w:rPr>
                <w:rFonts w:cstheme="minorHAnsi"/>
                <w:color w:val="000000" w:themeColor="text1"/>
                <w:sz w:val="18"/>
                <w:szCs w:val="18"/>
                <w:lang w:val="en-US"/>
              </w:rPr>
              <w:t>ruchu</w:t>
            </w:r>
            <w:proofErr w:type="spellEnd"/>
            <w:r>
              <w:rPr>
                <w:rFonts w:cstheme="minorHAnsi"/>
                <w:color w:val="000000" w:themeColor="text1"/>
                <w:sz w:val="18"/>
                <w:szCs w:val="18"/>
                <w:lang w:val="en-US"/>
              </w:rPr>
              <w:t xml:space="preserve"> multicast - IGMPv3 </w:t>
            </w:r>
            <w:proofErr w:type="spellStart"/>
            <w:r>
              <w:rPr>
                <w:rFonts w:cstheme="minorHAnsi"/>
                <w:color w:val="000000" w:themeColor="text1"/>
                <w:sz w:val="18"/>
                <w:szCs w:val="18"/>
                <w:lang w:val="en-US"/>
              </w:rPr>
              <w:t>i</w:t>
            </w:r>
            <w:proofErr w:type="spellEnd"/>
            <w:r>
              <w:rPr>
                <w:rFonts w:cstheme="minorHAnsi"/>
                <w:color w:val="000000" w:themeColor="text1"/>
                <w:sz w:val="18"/>
                <w:szCs w:val="18"/>
                <w:lang w:val="en-US"/>
              </w:rPr>
              <w:t xml:space="preserve"> MLDv1/2 Snooping</w:t>
            </w:r>
          </w:p>
          <w:p w:rsidR="008A4294" w:rsidRDefault="00D67304">
            <w:pPr>
              <w:pStyle w:val="Akapitzlist"/>
              <w:numPr>
                <w:ilvl w:val="0"/>
                <w:numId w:val="11"/>
              </w:numPr>
              <w:spacing w:after="0" w:line="240" w:lineRule="auto"/>
              <w:ind w:left="359"/>
              <w:rPr>
                <w:rFonts w:eastAsia="MS Mincho" w:cstheme="minorHAnsi"/>
                <w:color w:val="000000" w:themeColor="text1"/>
                <w:sz w:val="18"/>
                <w:szCs w:val="18"/>
              </w:rPr>
            </w:pPr>
            <w:r>
              <w:rPr>
                <w:rFonts w:cstheme="minorHAnsi"/>
                <w:color w:val="000000" w:themeColor="text1"/>
                <w:sz w:val="18"/>
                <w:szCs w:val="18"/>
              </w:rPr>
              <w:t>Wsparcie dla protokołów związanych z zapewnieniem ciągłości pracy sieci:</w:t>
            </w:r>
          </w:p>
          <w:p w:rsidR="008A4294" w:rsidRDefault="00D67304">
            <w:pPr>
              <w:pStyle w:val="Akapitzlist"/>
              <w:numPr>
                <w:ilvl w:val="0"/>
                <w:numId w:val="11"/>
              </w:numPr>
              <w:spacing w:after="0" w:line="240" w:lineRule="auto"/>
              <w:ind w:left="784"/>
              <w:rPr>
                <w:rFonts w:eastAsia="MS Mincho" w:cstheme="minorHAnsi"/>
                <w:color w:val="000000" w:themeColor="text1"/>
                <w:sz w:val="18"/>
                <w:szCs w:val="18"/>
              </w:rPr>
            </w:pPr>
            <w:r>
              <w:rPr>
                <w:rFonts w:cstheme="minorHAnsi"/>
                <w:color w:val="000000" w:themeColor="text1"/>
                <w:sz w:val="18"/>
                <w:szCs w:val="18"/>
              </w:rPr>
              <w:t>IEEE 802.1d</w:t>
            </w:r>
            <w:r>
              <w:rPr>
                <w:rFonts w:cstheme="minorHAnsi"/>
                <w:color w:val="000000" w:themeColor="text1"/>
                <w:sz w:val="14"/>
                <w:szCs w:val="18"/>
              </w:rPr>
              <w:t xml:space="preserve"> </w:t>
            </w:r>
            <w:r>
              <w:rPr>
                <w:color w:val="000000"/>
                <w:sz w:val="18"/>
                <w:lang w:val="en-US" w:eastAsia="pl-PL"/>
              </w:rPr>
              <w:t>Spanning Tree</w:t>
            </w:r>
          </w:p>
          <w:p w:rsidR="008A4294" w:rsidRDefault="00D67304">
            <w:pPr>
              <w:pStyle w:val="Akapitzlist"/>
              <w:numPr>
                <w:ilvl w:val="0"/>
                <w:numId w:val="11"/>
              </w:numPr>
              <w:spacing w:after="0" w:line="240" w:lineRule="auto"/>
              <w:ind w:left="784"/>
              <w:rPr>
                <w:rFonts w:eastAsia="MS Mincho" w:cstheme="minorHAnsi"/>
                <w:color w:val="000000" w:themeColor="text1"/>
                <w:sz w:val="18"/>
                <w:szCs w:val="18"/>
              </w:rPr>
            </w:pPr>
            <w:r>
              <w:rPr>
                <w:rFonts w:cstheme="minorHAnsi"/>
                <w:color w:val="000000" w:themeColor="text1"/>
                <w:sz w:val="18"/>
                <w:szCs w:val="18"/>
              </w:rPr>
              <w:t xml:space="preserve">IEEE 802.1w </w:t>
            </w:r>
            <w:proofErr w:type="spellStart"/>
            <w:r>
              <w:rPr>
                <w:rFonts w:eastAsia="MS Mincho" w:cstheme="minorHAnsi"/>
                <w:color w:val="000000" w:themeColor="text1"/>
                <w:sz w:val="18"/>
                <w:szCs w:val="18"/>
              </w:rPr>
              <w:t>Rapid</w:t>
            </w:r>
            <w:proofErr w:type="spellEnd"/>
            <w:r>
              <w:rPr>
                <w:rFonts w:eastAsia="MS Mincho" w:cstheme="minorHAnsi"/>
                <w:color w:val="000000" w:themeColor="text1"/>
                <w:sz w:val="18"/>
                <w:szCs w:val="18"/>
              </w:rPr>
              <w:t xml:space="preserve"> </w:t>
            </w:r>
            <w:proofErr w:type="spellStart"/>
            <w:r>
              <w:rPr>
                <w:rFonts w:eastAsia="MS Mincho" w:cstheme="minorHAnsi"/>
                <w:color w:val="000000" w:themeColor="text1"/>
                <w:sz w:val="18"/>
                <w:szCs w:val="18"/>
              </w:rPr>
              <w:t>Spanning</w:t>
            </w:r>
            <w:proofErr w:type="spellEnd"/>
            <w:r>
              <w:rPr>
                <w:rFonts w:eastAsia="MS Mincho" w:cstheme="minorHAnsi"/>
                <w:color w:val="000000" w:themeColor="text1"/>
                <w:sz w:val="18"/>
                <w:szCs w:val="18"/>
              </w:rPr>
              <w:t xml:space="preserve"> </w:t>
            </w:r>
            <w:proofErr w:type="spellStart"/>
            <w:r>
              <w:rPr>
                <w:rFonts w:eastAsia="MS Mincho" w:cstheme="minorHAnsi"/>
                <w:color w:val="000000" w:themeColor="text1"/>
                <w:sz w:val="18"/>
                <w:szCs w:val="18"/>
              </w:rPr>
              <w:t>Tree</w:t>
            </w:r>
            <w:proofErr w:type="spellEnd"/>
          </w:p>
          <w:p w:rsidR="008A4294" w:rsidRDefault="00D67304">
            <w:pPr>
              <w:pStyle w:val="Akapitzlist"/>
              <w:numPr>
                <w:ilvl w:val="0"/>
                <w:numId w:val="11"/>
              </w:numPr>
              <w:spacing w:after="0" w:line="240" w:lineRule="auto"/>
              <w:ind w:left="784"/>
              <w:rPr>
                <w:rFonts w:eastAsia="MS Mincho" w:cstheme="minorHAnsi"/>
                <w:color w:val="000000" w:themeColor="text1"/>
                <w:sz w:val="18"/>
                <w:szCs w:val="18"/>
              </w:rPr>
            </w:pPr>
            <w:r>
              <w:rPr>
                <w:rFonts w:eastAsia="MS Mincho" w:cstheme="minorHAnsi"/>
                <w:color w:val="000000" w:themeColor="text1"/>
                <w:sz w:val="18"/>
                <w:szCs w:val="18"/>
              </w:rPr>
              <w:t>IEEE 802.1s Multi-</w:t>
            </w:r>
            <w:proofErr w:type="spellStart"/>
            <w:r>
              <w:rPr>
                <w:rFonts w:eastAsia="MS Mincho" w:cstheme="minorHAnsi"/>
                <w:color w:val="000000" w:themeColor="text1"/>
                <w:sz w:val="18"/>
                <w:szCs w:val="18"/>
              </w:rPr>
              <w:t>Instance</w:t>
            </w:r>
            <w:proofErr w:type="spellEnd"/>
            <w:r>
              <w:rPr>
                <w:rFonts w:eastAsia="MS Mincho" w:cstheme="minorHAnsi"/>
                <w:color w:val="000000" w:themeColor="text1"/>
                <w:sz w:val="18"/>
                <w:szCs w:val="18"/>
              </w:rPr>
              <w:t xml:space="preserve"> </w:t>
            </w:r>
            <w:proofErr w:type="spellStart"/>
            <w:r>
              <w:rPr>
                <w:rFonts w:eastAsia="MS Mincho" w:cstheme="minorHAnsi"/>
                <w:color w:val="000000" w:themeColor="text1"/>
                <w:sz w:val="18"/>
                <w:szCs w:val="18"/>
              </w:rPr>
              <w:t>Spanning</w:t>
            </w:r>
            <w:proofErr w:type="spellEnd"/>
            <w:r>
              <w:rPr>
                <w:rFonts w:eastAsia="MS Mincho" w:cstheme="minorHAnsi"/>
                <w:color w:val="000000" w:themeColor="text1"/>
                <w:sz w:val="18"/>
                <w:szCs w:val="18"/>
              </w:rPr>
              <w:t xml:space="preserve"> </w:t>
            </w:r>
            <w:proofErr w:type="spellStart"/>
            <w:r>
              <w:rPr>
                <w:rFonts w:eastAsia="MS Mincho" w:cstheme="minorHAnsi"/>
                <w:color w:val="000000" w:themeColor="text1"/>
                <w:sz w:val="18"/>
                <w:szCs w:val="18"/>
              </w:rPr>
              <w:t>Tree</w:t>
            </w:r>
            <w:proofErr w:type="spellEnd"/>
            <w:r>
              <w:rPr>
                <w:rFonts w:eastAsia="MS Mincho" w:cstheme="minorHAnsi"/>
                <w:color w:val="000000" w:themeColor="text1"/>
                <w:sz w:val="18"/>
                <w:szCs w:val="18"/>
              </w:rPr>
              <w:t>.</w:t>
            </w:r>
          </w:p>
          <w:p w:rsidR="008A4294" w:rsidRDefault="00D67304">
            <w:pPr>
              <w:pStyle w:val="Akapitzlist"/>
              <w:numPr>
                <w:ilvl w:val="0"/>
                <w:numId w:val="11"/>
              </w:numPr>
              <w:spacing w:after="0" w:line="240" w:lineRule="auto"/>
              <w:ind w:left="359"/>
              <w:rPr>
                <w:rFonts w:cstheme="minorHAnsi"/>
                <w:color w:val="000000" w:themeColor="text1"/>
                <w:sz w:val="18"/>
                <w:szCs w:val="18"/>
              </w:rPr>
            </w:pPr>
            <w:r>
              <w:rPr>
                <w:rFonts w:eastAsia="MS Mincho" w:cstheme="minorHAnsi"/>
                <w:color w:val="000000" w:themeColor="text1"/>
                <w:sz w:val="18"/>
                <w:szCs w:val="18"/>
              </w:rPr>
              <w:t>Przełącznik musi posiadać możliwość uruchomienia funkcjonalności serwera DHCP</w:t>
            </w:r>
          </w:p>
          <w:p w:rsidR="008A4294" w:rsidRDefault="00D67304">
            <w:pPr>
              <w:pStyle w:val="Akapitzlist"/>
              <w:numPr>
                <w:ilvl w:val="0"/>
                <w:numId w:val="11"/>
              </w:numPr>
              <w:spacing w:after="200" w:line="240" w:lineRule="auto"/>
              <w:ind w:left="359"/>
              <w:rPr>
                <w:rFonts w:cstheme="minorHAnsi"/>
                <w:color w:val="000000" w:themeColor="text1"/>
                <w:sz w:val="18"/>
                <w:szCs w:val="18"/>
              </w:rPr>
            </w:pPr>
            <w:r>
              <w:rPr>
                <w:rFonts w:cstheme="minorHAnsi"/>
                <w:color w:val="000000" w:themeColor="text1"/>
                <w:sz w:val="18"/>
                <w:szCs w:val="18"/>
              </w:rPr>
              <w:t>Obsługa agregacji portów zgodnie z LACP (IEEE 802.3ad)</w:t>
            </w:r>
          </w:p>
          <w:p w:rsidR="008A4294" w:rsidRDefault="00D67304">
            <w:pPr>
              <w:pStyle w:val="Akapitzlist"/>
              <w:numPr>
                <w:ilvl w:val="0"/>
                <w:numId w:val="11"/>
              </w:numPr>
              <w:spacing w:after="200" w:line="240" w:lineRule="auto"/>
              <w:ind w:left="359"/>
              <w:rPr>
                <w:rFonts w:cstheme="minorHAnsi"/>
                <w:color w:val="000000" w:themeColor="text1"/>
                <w:sz w:val="18"/>
                <w:szCs w:val="18"/>
              </w:rPr>
            </w:pPr>
            <w:r>
              <w:rPr>
                <w:rFonts w:cstheme="minorHAnsi"/>
                <w:color w:val="000000" w:themeColor="text1"/>
                <w:sz w:val="18"/>
                <w:szCs w:val="18"/>
              </w:rPr>
              <w:t>Przełącznik musi posiadać makra lub wzorce konfiguracji portów zawierające prekonfigurowane ustawienie rekomendowane przez producenta sprzętu zależnie od typu urządzenia dołączonego do portu (np. telefon IP)</w:t>
            </w:r>
          </w:p>
          <w:p w:rsidR="008A4294" w:rsidRDefault="00D67304">
            <w:pPr>
              <w:pStyle w:val="Akapitzlist"/>
              <w:numPr>
                <w:ilvl w:val="0"/>
                <w:numId w:val="11"/>
              </w:numPr>
              <w:spacing w:after="200" w:line="240" w:lineRule="auto"/>
              <w:ind w:left="359"/>
              <w:rPr>
                <w:rFonts w:cstheme="minorHAnsi"/>
                <w:color w:val="000000" w:themeColor="text1"/>
                <w:sz w:val="18"/>
                <w:szCs w:val="18"/>
              </w:rPr>
            </w:pPr>
            <w:r>
              <w:rPr>
                <w:rFonts w:ascii="Calibri" w:hAnsi="Calibri" w:cs="Calibri"/>
                <w:sz w:val="18"/>
                <w:szCs w:val="18"/>
                <w:shd w:val="clear" w:color="auto" w:fill="FFFFFF"/>
              </w:rPr>
              <w:t xml:space="preserve">Obsługa protokołu Link </w:t>
            </w:r>
            <w:proofErr w:type="spellStart"/>
            <w:r>
              <w:rPr>
                <w:rFonts w:ascii="Calibri" w:hAnsi="Calibri" w:cs="Calibri"/>
                <w:sz w:val="18"/>
                <w:szCs w:val="18"/>
                <w:shd w:val="clear" w:color="auto" w:fill="FFFFFF"/>
              </w:rPr>
              <w:t>Layer</w:t>
            </w:r>
            <w:proofErr w:type="spellEnd"/>
            <w:r>
              <w:rPr>
                <w:rFonts w:ascii="Calibri" w:hAnsi="Calibri" w:cs="Calibri"/>
                <w:sz w:val="18"/>
                <w:szCs w:val="18"/>
                <w:shd w:val="clear" w:color="auto" w:fill="FFFFFF"/>
              </w:rPr>
              <w:t xml:space="preserve"> Discovery </w:t>
            </w:r>
            <w:proofErr w:type="spellStart"/>
            <w:r>
              <w:rPr>
                <w:rFonts w:ascii="Calibri" w:hAnsi="Calibri" w:cs="Calibri"/>
                <w:sz w:val="18"/>
                <w:szCs w:val="18"/>
                <w:shd w:val="clear" w:color="auto" w:fill="FFFFFF"/>
              </w:rPr>
              <w:t>Protocol</w:t>
            </w:r>
            <w:proofErr w:type="spellEnd"/>
            <w:r>
              <w:rPr>
                <w:rFonts w:ascii="Calibri" w:hAnsi="Calibri" w:cs="Calibri"/>
                <w:sz w:val="18"/>
                <w:szCs w:val="18"/>
                <w:shd w:val="clear" w:color="auto" w:fill="FFFFFF"/>
              </w:rPr>
              <w:t xml:space="preserve"> i LLDP-MED lub równoważnych (np. CDP)*</w:t>
            </w:r>
          </w:p>
          <w:p w:rsidR="008A4294" w:rsidRDefault="00D67304">
            <w:pPr>
              <w:pStyle w:val="Akapitzlist"/>
              <w:numPr>
                <w:ilvl w:val="0"/>
                <w:numId w:val="11"/>
              </w:numPr>
              <w:spacing w:after="200" w:line="240" w:lineRule="auto"/>
              <w:ind w:left="359"/>
              <w:rPr>
                <w:rFonts w:cstheme="minorHAnsi"/>
                <w:sz w:val="18"/>
                <w:szCs w:val="18"/>
              </w:rPr>
            </w:pPr>
            <w:r>
              <w:rPr>
                <w:rFonts w:eastAsia="MS Mincho" w:cstheme="minorHAnsi"/>
                <w:sz w:val="18"/>
                <w:szCs w:val="18"/>
              </w:rPr>
              <w:t>Urządzenie musi mieć możliwość zarządzania poprzez interfejs CLI z poziomu portu konsoli oraz</w:t>
            </w:r>
            <w:r>
              <w:t xml:space="preserve"> </w:t>
            </w:r>
            <w:r>
              <w:rPr>
                <w:rFonts w:eastAsia="MS Mincho" w:cstheme="minorHAnsi"/>
                <w:sz w:val="18"/>
                <w:szCs w:val="18"/>
              </w:rPr>
              <w:t xml:space="preserve">za pomocą standardowych protokołów (co najmniej SSH) </w:t>
            </w:r>
          </w:p>
          <w:p w:rsidR="008A4294" w:rsidRDefault="00D67304">
            <w:pPr>
              <w:pStyle w:val="Akapitzlist"/>
              <w:numPr>
                <w:ilvl w:val="0"/>
                <w:numId w:val="11"/>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Urządzenie musi być wyposażone w port USB umożliwiający podłączenie zewnętrznego nośnika danych</w:t>
            </w:r>
          </w:p>
          <w:p w:rsidR="008A4294" w:rsidRDefault="00D67304">
            <w:pPr>
              <w:pStyle w:val="Akapitzlist"/>
              <w:numPr>
                <w:ilvl w:val="0"/>
                <w:numId w:val="11"/>
              </w:numPr>
              <w:spacing w:after="200" w:line="240" w:lineRule="auto"/>
              <w:ind w:left="359"/>
              <w:rPr>
                <w:rFonts w:cstheme="minorHAnsi"/>
                <w:color w:val="000000" w:themeColor="text1"/>
                <w:sz w:val="18"/>
                <w:szCs w:val="18"/>
              </w:rPr>
            </w:pPr>
            <w:r>
              <w:rPr>
                <w:rFonts w:eastAsia="MS Mincho" w:cstheme="minorHAnsi"/>
                <w:color w:val="000000" w:themeColor="text1"/>
                <w:sz w:val="18"/>
                <w:szCs w:val="18"/>
              </w:rPr>
              <w:t>Przełącznik musi umożliwiać lokalną i zdalną obserwację ruchu na określonym porcie, polegającą na kopiowaniu pojawiających się na nim ramek i przesyłaniu ich do zdalnego urządzenia monitorującego – mechanizmy SPAN, RSPAN</w:t>
            </w:r>
          </w:p>
          <w:p w:rsidR="008A4294" w:rsidRDefault="00D67304">
            <w:pPr>
              <w:pStyle w:val="Akapitzlist"/>
              <w:numPr>
                <w:ilvl w:val="0"/>
                <w:numId w:val="11"/>
              </w:numPr>
              <w:spacing w:after="0" w:line="240" w:lineRule="auto"/>
              <w:ind w:left="359"/>
              <w:rPr>
                <w:rFonts w:eastAsia="MS Mincho" w:cstheme="minorHAnsi"/>
                <w:color w:val="000000" w:themeColor="text1"/>
                <w:sz w:val="18"/>
                <w:szCs w:val="18"/>
              </w:rPr>
            </w:pPr>
            <w:r>
              <w:rPr>
                <w:rFonts w:eastAsia="MS Mincho" w:cstheme="minorHAnsi"/>
                <w:color w:val="000000" w:themeColor="text1"/>
                <w:sz w:val="18"/>
                <w:szCs w:val="18"/>
              </w:rPr>
              <w:t>Obsługa protokołów routingu</w:t>
            </w:r>
            <w:r>
              <w:rPr>
                <w:rFonts w:cstheme="minorHAnsi"/>
                <w:color w:val="000000" w:themeColor="text1"/>
                <w:sz w:val="18"/>
                <w:szCs w:val="18"/>
              </w:rPr>
              <w:t>:</w:t>
            </w:r>
          </w:p>
          <w:p w:rsidR="008A4294" w:rsidRDefault="00D67304">
            <w:pPr>
              <w:pStyle w:val="Akapitzlist"/>
              <w:numPr>
                <w:ilvl w:val="0"/>
                <w:numId w:val="11"/>
              </w:numPr>
              <w:spacing w:after="0" w:line="240" w:lineRule="auto"/>
              <w:ind w:left="784"/>
              <w:rPr>
                <w:rFonts w:eastAsia="MS Mincho" w:cstheme="minorHAnsi"/>
                <w:color w:val="000000" w:themeColor="text1"/>
                <w:sz w:val="18"/>
                <w:szCs w:val="18"/>
              </w:rPr>
            </w:pPr>
            <w:r>
              <w:rPr>
                <w:rFonts w:eastAsia="MS Mincho" w:cstheme="minorHAnsi"/>
                <w:color w:val="000000" w:themeColor="text1"/>
                <w:sz w:val="18"/>
                <w:szCs w:val="18"/>
              </w:rPr>
              <w:t>Routing statyczny dla IPv4 i IPv6</w:t>
            </w:r>
          </w:p>
          <w:p w:rsidR="008A4294" w:rsidRDefault="00D67304">
            <w:pPr>
              <w:pStyle w:val="Akapitzlist"/>
              <w:numPr>
                <w:ilvl w:val="0"/>
                <w:numId w:val="11"/>
              </w:numPr>
              <w:spacing w:after="0" w:line="240" w:lineRule="auto"/>
              <w:ind w:left="784"/>
              <w:rPr>
                <w:rFonts w:eastAsia="MS Mincho" w:cstheme="minorHAnsi"/>
                <w:color w:val="000000" w:themeColor="text1"/>
                <w:sz w:val="18"/>
                <w:szCs w:val="18"/>
              </w:rPr>
            </w:pPr>
            <w:r>
              <w:rPr>
                <w:rFonts w:eastAsia="MS Mincho" w:cstheme="minorHAnsi"/>
                <w:color w:val="000000" w:themeColor="text1"/>
                <w:sz w:val="18"/>
                <w:szCs w:val="18"/>
              </w:rPr>
              <w:t>Routing dynamiczny - RIP</w:t>
            </w:r>
          </w:p>
          <w:p w:rsidR="008A4294" w:rsidRDefault="008A4294">
            <w:pPr>
              <w:spacing w:line="240" w:lineRule="auto"/>
              <w:contextualSpacing/>
              <w:rPr>
                <w:rFonts w:cstheme="minorHAnsi"/>
                <w:color w:val="000000" w:themeColor="text1"/>
                <w:sz w:val="18"/>
                <w:szCs w:val="18"/>
              </w:rPr>
            </w:pPr>
          </w:p>
        </w:tc>
      </w:tr>
      <w:tr w:rsidR="008A4294">
        <w:trPr>
          <w:trHeight w:val="693"/>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shd w:val="clear" w:color="auto" w:fill="FFFFFF"/>
              </w:rPr>
            </w:pPr>
            <w:r>
              <w:rPr>
                <w:rFonts w:ascii="Calibri" w:hAnsi="Calibri" w:cs="Calibri"/>
                <w:color w:val="000000" w:themeColor="text1"/>
                <w:sz w:val="18"/>
                <w:szCs w:val="18"/>
                <w:shd w:val="clear" w:color="auto" w:fill="FFFFFF"/>
              </w:rPr>
              <w:t>Zarządzanie i konfiguracja</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pStyle w:val="Akapitzlist"/>
              <w:numPr>
                <w:ilvl w:val="0"/>
                <w:numId w:val="11"/>
              </w:numPr>
              <w:spacing w:after="200" w:line="240" w:lineRule="auto"/>
              <w:ind w:left="359"/>
              <w:rPr>
                <w:rFonts w:cstheme="minorHAnsi"/>
                <w:color w:val="000000" w:themeColor="text1"/>
                <w:sz w:val="18"/>
                <w:szCs w:val="18"/>
              </w:rPr>
            </w:pPr>
            <w:r>
              <w:rPr>
                <w:rFonts w:cstheme="minorHAnsi"/>
                <w:color w:val="000000" w:themeColor="text1"/>
                <w:sz w:val="18"/>
                <w:szCs w:val="18"/>
              </w:rPr>
              <w:t>Zarządzanie poprzez interfejs CLI z poziomu portu konsoli</w:t>
            </w:r>
          </w:p>
          <w:p w:rsidR="008A4294" w:rsidRDefault="00D67304">
            <w:pPr>
              <w:pStyle w:val="Akapitzlist"/>
              <w:numPr>
                <w:ilvl w:val="0"/>
                <w:numId w:val="11"/>
              </w:numPr>
              <w:spacing w:after="200" w:line="240" w:lineRule="auto"/>
              <w:ind w:left="359"/>
              <w:rPr>
                <w:rFonts w:cstheme="minorHAnsi"/>
                <w:color w:val="000000" w:themeColor="text1"/>
                <w:sz w:val="18"/>
                <w:szCs w:val="18"/>
              </w:rPr>
            </w:pPr>
            <w:r>
              <w:rPr>
                <w:rFonts w:eastAsia="MS Mincho" w:cstheme="minorHAnsi"/>
                <w:color w:val="000000" w:themeColor="text1"/>
                <w:sz w:val="18"/>
                <w:szCs w:val="18"/>
              </w:rPr>
              <w:t>Plik konfiguracyjny urządzenia musi być możliwy do edycji w trybie off-</w:t>
            </w:r>
            <w:proofErr w:type="spellStart"/>
            <w:r>
              <w:rPr>
                <w:rFonts w:eastAsia="MS Mincho" w:cstheme="minorHAnsi"/>
                <w:color w:val="000000" w:themeColor="text1"/>
                <w:sz w:val="18"/>
                <w:szCs w:val="18"/>
              </w:rPr>
              <w:t>line</w:t>
            </w:r>
            <w:proofErr w:type="spellEnd"/>
            <w:r>
              <w:rPr>
                <w:rFonts w:eastAsia="MS Mincho" w:cstheme="minorHAnsi"/>
                <w:color w:val="000000" w:themeColor="text1"/>
                <w:sz w:val="18"/>
                <w:szCs w:val="18"/>
              </w:rPr>
              <w:t xml:space="preserve"> (tzn. konieczna jest możliwość przeglądania i zmian konfiguracji w pliku tekstowym na dowolnym urządzeniu PC). Po zapisaniu konfiguracji w pamięci nieulotnej musi być możliwe uruchomienie urządzenia z nową konfiguracją.</w:t>
            </w:r>
          </w:p>
          <w:p w:rsidR="008A4294" w:rsidRDefault="00D67304">
            <w:pPr>
              <w:pStyle w:val="Akapitzlist"/>
              <w:numPr>
                <w:ilvl w:val="0"/>
                <w:numId w:val="11"/>
              </w:numPr>
              <w:spacing w:after="200" w:line="240" w:lineRule="auto"/>
              <w:ind w:left="359"/>
              <w:rPr>
                <w:rFonts w:cstheme="minorHAnsi"/>
                <w:color w:val="000000" w:themeColor="text1"/>
                <w:sz w:val="18"/>
                <w:szCs w:val="18"/>
              </w:rPr>
            </w:pPr>
            <w:r>
              <w:rPr>
                <w:rFonts w:cstheme="minorHAnsi"/>
                <w:color w:val="000000" w:themeColor="text1"/>
                <w:sz w:val="18"/>
                <w:szCs w:val="18"/>
              </w:rPr>
              <w:t>Możliwość uzyskania dostępu do urządzenia przez SNMPv3, SSHv2, HTTP/HTTPS z wykorzystaniem IPv4 i IPv6</w:t>
            </w:r>
          </w:p>
        </w:tc>
      </w:tr>
      <w:tr w:rsidR="008A4294">
        <w:trPr>
          <w:trHeight w:val="284"/>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rPr>
            </w:pPr>
            <w:r>
              <w:rPr>
                <w:rFonts w:ascii="Calibri" w:hAnsi="Calibri" w:cs="Calibri"/>
                <w:color w:val="000000" w:themeColor="text1"/>
                <w:sz w:val="18"/>
                <w:szCs w:val="18"/>
                <w:shd w:val="clear" w:color="auto" w:fill="FFFFFF"/>
              </w:rPr>
              <w:t>Bezpieczeństwo</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spacing w:line="240" w:lineRule="auto"/>
              <w:contextualSpacing/>
              <w:rPr>
                <w:rFonts w:eastAsia="MS Mincho" w:cstheme="minorHAnsi"/>
                <w:color w:val="000000" w:themeColor="text1"/>
                <w:sz w:val="18"/>
                <w:szCs w:val="18"/>
              </w:rPr>
            </w:pPr>
            <w:r>
              <w:rPr>
                <w:rFonts w:cstheme="minorHAnsi"/>
                <w:color w:val="000000" w:themeColor="text1"/>
                <w:sz w:val="18"/>
                <w:szCs w:val="18"/>
              </w:rPr>
              <w:t>Przełącznik musi obsługiwać następujące mechanizmy bezpieczeństwa:</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Obsługa list kontroli dostępu (ACL)</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Wiele poziomów dostępu administracyjnego poprzez konsolę</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Autoryzacja użytkowników w oparciu o IEEE 802.1X z możliwością dynamicznego przypisania użytkownika do określonej sieci VLAN.</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Autoryzacja użytkowników w oparciu o IEEE 802.1X z możliwością dynamicznego przypisania listy ACL</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 xml:space="preserve">Obsługa funkcji </w:t>
            </w:r>
            <w:proofErr w:type="spellStart"/>
            <w:r>
              <w:rPr>
                <w:rFonts w:eastAsia="MS Mincho" w:cstheme="minorHAnsi"/>
                <w:color w:val="000000" w:themeColor="text1"/>
                <w:sz w:val="18"/>
                <w:szCs w:val="18"/>
              </w:rPr>
              <w:t>Guest</w:t>
            </w:r>
            <w:proofErr w:type="spellEnd"/>
            <w:r>
              <w:rPr>
                <w:rFonts w:eastAsia="MS Mincho" w:cstheme="minorHAnsi"/>
                <w:color w:val="000000" w:themeColor="text1"/>
                <w:sz w:val="18"/>
                <w:szCs w:val="18"/>
              </w:rPr>
              <w:t xml:space="preserve"> VLAN umożliwiająca uzyskanie gościnnego dostępu do sieci dla użytkowników bez suplikanta 802.1X</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Możliwość uwierzytelniania urządzeń na porcie w oparciu o adres MAC</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 xml:space="preserve">Możliwość uwierzytelniania użytkowników w oparciu o portal www dla klientów bez suplikanta 802.1X </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 xml:space="preserve">Wymagana jest wsparcie dla możliwości uwierzytelniania wielu użytkowników na jednym porcie </w:t>
            </w:r>
            <w:r>
              <w:rPr>
                <w:rFonts w:cstheme="minorHAnsi"/>
                <w:sz w:val="18"/>
                <w:szCs w:val="18"/>
              </w:rPr>
              <w:t>oraz możliwość jednoczesnego uwierzytelniania na porcie telefonu IP i komputera PC podłączonego za telefonem</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lang w:val="en-US"/>
              </w:rPr>
            </w:pPr>
            <w:proofErr w:type="spellStart"/>
            <w:r>
              <w:rPr>
                <w:rFonts w:eastAsia="MS Mincho" w:cstheme="minorHAnsi"/>
                <w:color w:val="000000" w:themeColor="text1"/>
                <w:sz w:val="18"/>
                <w:szCs w:val="18"/>
                <w:lang w:val="en-US"/>
              </w:rPr>
              <w:t>Obsługa</w:t>
            </w:r>
            <w:proofErr w:type="spellEnd"/>
            <w:r>
              <w:rPr>
                <w:rFonts w:eastAsia="MS Mincho" w:cstheme="minorHAnsi"/>
                <w:color w:val="000000" w:themeColor="text1"/>
                <w:sz w:val="18"/>
                <w:szCs w:val="18"/>
                <w:lang w:val="en-US"/>
              </w:rPr>
              <w:t xml:space="preserve"> </w:t>
            </w:r>
            <w:proofErr w:type="spellStart"/>
            <w:r>
              <w:rPr>
                <w:rFonts w:eastAsia="MS Mincho" w:cstheme="minorHAnsi"/>
                <w:color w:val="000000" w:themeColor="text1"/>
                <w:sz w:val="18"/>
                <w:szCs w:val="18"/>
                <w:lang w:val="en-US"/>
              </w:rPr>
              <w:t>funkcji</w:t>
            </w:r>
            <w:proofErr w:type="spellEnd"/>
            <w:r>
              <w:rPr>
                <w:rFonts w:eastAsia="MS Mincho" w:cstheme="minorHAnsi"/>
                <w:color w:val="000000" w:themeColor="text1"/>
                <w:sz w:val="18"/>
                <w:szCs w:val="18"/>
                <w:lang w:val="en-US"/>
              </w:rPr>
              <w:t xml:space="preserve"> Port Security, DHCP Snooping </w:t>
            </w:r>
            <w:proofErr w:type="spellStart"/>
            <w:r>
              <w:rPr>
                <w:rFonts w:eastAsia="MS Mincho" w:cstheme="minorHAnsi"/>
                <w:color w:val="000000" w:themeColor="text1"/>
                <w:sz w:val="18"/>
                <w:szCs w:val="18"/>
                <w:lang w:val="en-US"/>
              </w:rPr>
              <w:t>lub</w:t>
            </w:r>
            <w:proofErr w:type="spellEnd"/>
            <w:r>
              <w:rPr>
                <w:rFonts w:eastAsia="MS Mincho" w:cstheme="minorHAnsi"/>
                <w:color w:val="000000" w:themeColor="text1"/>
                <w:sz w:val="18"/>
                <w:szCs w:val="18"/>
                <w:lang w:val="en-US"/>
              </w:rPr>
              <w:t xml:space="preserve"> </w:t>
            </w:r>
            <w:proofErr w:type="spellStart"/>
            <w:r>
              <w:rPr>
                <w:rFonts w:eastAsia="MS Mincho" w:cstheme="minorHAnsi"/>
                <w:color w:val="000000" w:themeColor="text1"/>
                <w:sz w:val="18"/>
                <w:szCs w:val="18"/>
                <w:lang w:val="en-US"/>
              </w:rPr>
              <w:t>równoważne</w:t>
            </w:r>
            <w:proofErr w:type="spellEnd"/>
            <w:r>
              <w:rPr>
                <w:rFonts w:eastAsia="MS Mincho" w:cstheme="minorHAnsi"/>
                <w:color w:val="000000" w:themeColor="text1"/>
                <w:sz w:val="18"/>
                <w:szCs w:val="18"/>
                <w:lang w:val="en-US"/>
              </w:rPr>
              <w:t xml:space="preserve">, Dynamic ARP Inspection </w:t>
            </w:r>
            <w:proofErr w:type="spellStart"/>
            <w:r>
              <w:rPr>
                <w:rFonts w:eastAsia="MS Mincho" w:cstheme="minorHAnsi"/>
                <w:color w:val="000000" w:themeColor="text1"/>
                <w:sz w:val="18"/>
                <w:szCs w:val="18"/>
                <w:lang w:val="en-US"/>
              </w:rPr>
              <w:t>lub</w:t>
            </w:r>
            <w:proofErr w:type="spellEnd"/>
            <w:r>
              <w:rPr>
                <w:rFonts w:eastAsia="MS Mincho" w:cstheme="minorHAnsi"/>
                <w:color w:val="000000" w:themeColor="text1"/>
                <w:sz w:val="18"/>
                <w:szCs w:val="18"/>
                <w:lang w:val="en-US"/>
              </w:rPr>
              <w:t xml:space="preserve"> </w:t>
            </w:r>
            <w:proofErr w:type="spellStart"/>
            <w:r>
              <w:rPr>
                <w:rFonts w:eastAsia="MS Mincho" w:cstheme="minorHAnsi"/>
                <w:color w:val="000000" w:themeColor="text1"/>
                <w:sz w:val="18"/>
                <w:szCs w:val="18"/>
                <w:lang w:val="en-US"/>
              </w:rPr>
              <w:t>równoważne</w:t>
            </w:r>
            <w:proofErr w:type="spellEnd"/>
            <w:r>
              <w:rPr>
                <w:rFonts w:eastAsia="MS Mincho" w:cstheme="minorHAnsi"/>
                <w:color w:val="000000" w:themeColor="text1"/>
                <w:sz w:val="18"/>
                <w:szCs w:val="18"/>
                <w:lang w:val="en-US"/>
              </w:rPr>
              <w:t xml:space="preserve">, IP Source Guard </w:t>
            </w:r>
            <w:proofErr w:type="spellStart"/>
            <w:r>
              <w:rPr>
                <w:rFonts w:eastAsia="MS Mincho" w:cstheme="minorHAnsi"/>
                <w:color w:val="000000" w:themeColor="text1"/>
                <w:sz w:val="18"/>
                <w:szCs w:val="18"/>
                <w:lang w:val="en-US"/>
              </w:rPr>
              <w:t>lub</w:t>
            </w:r>
            <w:proofErr w:type="spellEnd"/>
            <w:r>
              <w:rPr>
                <w:rFonts w:eastAsia="MS Mincho" w:cstheme="minorHAnsi"/>
                <w:color w:val="000000" w:themeColor="text1"/>
                <w:sz w:val="18"/>
                <w:szCs w:val="18"/>
                <w:lang w:val="en-US"/>
              </w:rPr>
              <w:t xml:space="preserve"> </w:t>
            </w:r>
            <w:proofErr w:type="spellStart"/>
            <w:r>
              <w:rPr>
                <w:rFonts w:eastAsia="MS Mincho" w:cstheme="minorHAnsi"/>
                <w:color w:val="000000" w:themeColor="text1"/>
                <w:sz w:val="18"/>
                <w:szCs w:val="18"/>
                <w:lang w:val="en-US"/>
              </w:rPr>
              <w:t>równoważne</w:t>
            </w:r>
            <w:proofErr w:type="spellEnd"/>
            <w:r>
              <w:rPr>
                <w:rFonts w:eastAsia="MS Mincho" w:cstheme="minorHAnsi"/>
                <w:color w:val="000000" w:themeColor="text1"/>
                <w:sz w:val="18"/>
                <w:szCs w:val="18"/>
                <w:lang w:val="en-US"/>
              </w:rPr>
              <w:t>*</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 xml:space="preserve">Zapewnienie podstawowych mechanizmów bezpieczeństwa IPv6 na brzegu sieci (IPv6 FHS) – w tym minimum ochronę przed rozgłaszaniem fałszywych komunikatów Router </w:t>
            </w:r>
            <w:proofErr w:type="spellStart"/>
            <w:r>
              <w:rPr>
                <w:rFonts w:eastAsia="MS Mincho" w:cstheme="minorHAnsi"/>
                <w:color w:val="000000" w:themeColor="text1"/>
                <w:sz w:val="18"/>
                <w:szCs w:val="18"/>
              </w:rPr>
              <w:t>Advertisement</w:t>
            </w:r>
            <w:proofErr w:type="spellEnd"/>
            <w:r>
              <w:rPr>
                <w:rFonts w:eastAsia="MS Mincho" w:cstheme="minorHAnsi"/>
                <w:color w:val="000000" w:themeColor="text1"/>
                <w:sz w:val="18"/>
                <w:szCs w:val="18"/>
              </w:rPr>
              <w:t xml:space="preserve"> (RA </w:t>
            </w:r>
            <w:proofErr w:type="spellStart"/>
            <w:r>
              <w:rPr>
                <w:rFonts w:eastAsia="MS Mincho" w:cstheme="minorHAnsi"/>
                <w:color w:val="000000" w:themeColor="text1"/>
                <w:sz w:val="18"/>
                <w:szCs w:val="18"/>
              </w:rPr>
              <w:t>Guard</w:t>
            </w:r>
            <w:proofErr w:type="spellEnd"/>
            <w:r>
              <w:rPr>
                <w:rFonts w:eastAsia="MS Mincho" w:cstheme="minorHAnsi"/>
                <w:color w:val="000000" w:themeColor="text1"/>
                <w:sz w:val="18"/>
                <w:szCs w:val="18"/>
              </w:rPr>
              <w:t xml:space="preserve"> lub równoważne), ochronę przed dołączeniem nieuprawnionych serwerów DHCPv6 do sieci (DHCPv6 </w:t>
            </w:r>
            <w:proofErr w:type="spellStart"/>
            <w:r>
              <w:rPr>
                <w:rFonts w:eastAsia="MS Mincho" w:cstheme="minorHAnsi"/>
                <w:color w:val="000000" w:themeColor="text1"/>
                <w:sz w:val="18"/>
                <w:szCs w:val="18"/>
              </w:rPr>
              <w:t>Guard</w:t>
            </w:r>
            <w:proofErr w:type="spellEnd"/>
            <w:r>
              <w:rPr>
                <w:rFonts w:eastAsia="MS Mincho" w:cstheme="minorHAnsi"/>
                <w:color w:val="000000" w:themeColor="text1"/>
                <w:sz w:val="18"/>
                <w:szCs w:val="18"/>
              </w:rPr>
              <w:t xml:space="preserve"> lub równoważne) *</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rPr>
            </w:pPr>
            <w:r>
              <w:rPr>
                <w:rFonts w:cstheme="minorHAnsi"/>
                <w:color w:val="000000" w:themeColor="text1"/>
                <w:sz w:val="18"/>
                <w:szCs w:val="18"/>
              </w:rPr>
              <w:t>VLAN dla obsługi usług głosowych (tzw. Voice VLAN) umożliwiającej odseparowanie ruchu danych i ruchu głosowego</w:t>
            </w:r>
          </w:p>
          <w:p w:rsidR="008A4294" w:rsidRDefault="00D67304">
            <w:pPr>
              <w:pStyle w:val="Akapitzlist"/>
              <w:numPr>
                <w:ilvl w:val="0"/>
                <w:numId w:val="9"/>
              </w:numPr>
              <w:spacing w:after="200" w:line="240" w:lineRule="auto"/>
              <w:ind w:left="359"/>
              <w:rPr>
                <w:rFonts w:eastAsia="MS Mincho" w:cstheme="minorHAnsi"/>
                <w:color w:val="000000" w:themeColor="text1"/>
                <w:sz w:val="18"/>
                <w:szCs w:val="18"/>
              </w:rPr>
            </w:pPr>
            <w:r>
              <w:rPr>
                <w:rFonts w:cstheme="minorHAnsi"/>
                <w:color w:val="000000" w:themeColor="text1"/>
                <w:sz w:val="18"/>
                <w:szCs w:val="18"/>
              </w:rPr>
              <w:lastRenderedPageBreak/>
              <w:t xml:space="preserve">Możliwość próbkowania i eksportu statystyk ruchu do zewnętrznych kolektorów danych (mechanizmy typu </w:t>
            </w:r>
            <w:proofErr w:type="spellStart"/>
            <w:r>
              <w:rPr>
                <w:rFonts w:cstheme="minorHAnsi"/>
                <w:color w:val="000000" w:themeColor="text1"/>
                <w:sz w:val="18"/>
                <w:szCs w:val="18"/>
              </w:rPr>
              <w:t>sFlow</w:t>
            </w:r>
            <w:proofErr w:type="spellEnd"/>
            <w:r>
              <w:rPr>
                <w:rFonts w:cstheme="minorHAnsi"/>
                <w:color w:val="000000" w:themeColor="text1"/>
                <w:sz w:val="18"/>
                <w:szCs w:val="18"/>
              </w:rPr>
              <w:t xml:space="preserve">, </w:t>
            </w:r>
            <w:proofErr w:type="spellStart"/>
            <w:r>
              <w:rPr>
                <w:rFonts w:cstheme="minorHAnsi"/>
                <w:color w:val="000000" w:themeColor="text1"/>
                <w:sz w:val="18"/>
                <w:szCs w:val="18"/>
              </w:rPr>
              <w:t>NetFlow</w:t>
            </w:r>
            <w:proofErr w:type="spellEnd"/>
            <w:r>
              <w:rPr>
                <w:rFonts w:cstheme="minorHAnsi"/>
                <w:color w:val="000000" w:themeColor="text1"/>
                <w:sz w:val="18"/>
                <w:szCs w:val="18"/>
              </w:rPr>
              <w:t>, J-</w:t>
            </w:r>
            <w:proofErr w:type="spellStart"/>
            <w:r>
              <w:rPr>
                <w:rFonts w:cstheme="minorHAnsi"/>
                <w:color w:val="000000" w:themeColor="text1"/>
                <w:sz w:val="18"/>
                <w:szCs w:val="18"/>
              </w:rPr>
              <w:t>Flow</w:t>
            </w:r>
            <w:proofErr w:type="spellEnd"/>
            <w:r>
              <w:rPr>
                <w:rFonts w:cstheme="minorHAnsi"/>
                <w:color w:val="000000" w:themeColor="text1"/>
                <w:sz w:val="18"/>
                <w:szCs w:val="18"/>
              </w:rPr>
              <w:t xml:space="preserve"> lub równoważne) *</w:t>
            </w:r>
          </w:p>
        </w:tc>
      </w:tr>
      <w:tr w:rsidR="008A4294">
        <w:trPr>
          <w:trHeight w:val="701"/>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rPr>
            </w:pPr>
            <w:r>
              <w:rPr>
                <w:rFonts w:ascii="Calibri" w:hAnsi="Calibri" w:cs="Calibri"/>
                <w:color w:val="000000" w:themeColor="text1"/>
                <w:sz w:val="18"/>
                <w:szCs w:val="18"/>
              </w:rPr>
              <w:t xml:space="preserve">Zapewnienie jakości usług </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spacing w:line="240" w:lineRule="auto"/>
              <w:contextualSpacing/>
              <w:rPr>
                <w:rFonts w:eastAsia="MS Mincho" w:cstheme="minorHAnsi"/>
                <w:color w:val="000000" w:themeColor="text1"/>
                <w:sz w:val="18"/>
                <w:szCs w:val="18"/>
              </w:rPr>
            </w:pPr>
            <w:r>
              <w:rPr>
                <w:rFonts w:eastAsia="MS Mincho" w:cstheme="minorHAnsi"/>
                <w:color w:val="000000" w:themeColor="text1"/>
                <w:sz w:val="18"/>
                <w:szCs w:val="18"/>
              </w:rPr>
              <w:t>Przełącznik musi wspierać następujące mechanizmy związane z zapewnieniem jakości usług w sieci:</w:t>
            </w:r>
          </w:p>
          <w:p w:rsidR="008A4294" w:rsidRDefault="00D67304">
            <w:pPr>
              <w:pStyle w:val="Akapitzlist"/>
              <w:numPr>
                <w:ilvl w:val="0"/>
                <w:numId w:val="10"/>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Klasyfikacja ruchu do klas różnej jakości obsługi (</w:t>
            </w:r>
            <w:proofErr w:type="spellStart"/>
            <w:r>
              <w:rPr>
                <w:rFonts w:eastAsia="MS Mincho" w:cstheme="minorHAnsi"/>
                <w:color w:val="000000" w:themeColor="text1"/>
                <w:sz w:val="18"/>
                <w:szCs w:val="18"/>
              </w:rPr>
              <w:t>QoS</w:t>
            </w:r>
            <w:proofErr w:type="spellEnd"/>
            <w:r>
              <w:rPr>
                <w:rFonts w:eastAsia="MS Mincho" w:cstheme="minorHAnsi"/>
                <w:color w:val="000000" w:themeColor="text1"/>
                <w:sz w:val="18"/>
                <w:szCs w:val="18"/>
              </w:rPr>
              <w:t xml:space="preserve">) poprzez wykorzystanie następujących parametrów: źródłowy/docelowy adres MAC, źródłowy/docelowy adres IP, </w:t>
            </w:r>
            <w:r>
              <w:rPr>
                <w:rFonts w:cstheme="minorHAnsi"/>
                <w:color w:val="000000" w:themeColor="text1"/>
                <w:sz w:val="18"/>
                <w:szCs w:val="18"/>
              </w:rPr>
              <w:t>źródłowy</w:t>
            </w:r>
            <w:r>
              <w:rPr>
                <w:rFonts w:eastAsia="MS Mincho" w:cstheme="minorHAnsi"/>
                <w:color w:val="000000" w:themeColor="text1"/>
                <w:sz w:val="18"/>
                <w:szCs w:val="18"/>
              </w:rPr>
              <w:t>/docelowy port TCP</w:t>
            </w:r>
          </w:p>
          <w:p w:rsidR="008A4294" w:rsidRDefault="00D67304">
            <w:pPr>
              <w:pStyle w:val="Akapitzlist"/>
              <w:numPr>
                <w:ilvl w:val="0"/>
                <w:numId w:val="10"/>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Implementacja co najmniej ośmiu kolejek sprzętowych na każdym porcie dla obsługi ruchu o różnej klasie obsługi.</w:t>
            </w:r>
          </w:p>
          <w:p w:rsidR="008A4294" w:rsidRDefault="00D67304">
            <w:pPr>
              <w:pStyle w:val="Akapitzlist"/>
              <w:numPr>
                <w:ilvl w:val="0"/>
                <w:numId w:val="10"/>
              </w:numPr>
              <w:spacing w:after="200" w:line="240" w:lineRule="auto"/>
              <w:ind w:left="359"/>
              <w:rPr>
                <w:rFonts w:eastAsia="MS Mincho" w:cstheme="minorHAnsi"/>
                <w:color w:val="000000" w:themeColor="text1"/>
                <w:sz w:val="18"/>
                <w:szCs w:val="18"/>
              </w:rPr>
            </w:pPr>
            <w:r>
              <w:rPr>
                <w:rFonts w:eastAsia="MS Mincho" w:cstheme="minorHAnsi"/>
                <w:color w:val="000000" w:themeColor="text1"/>
                <w:sz w:val="18"/>
                <w:szCs w:val="18"/>
              </w:rPr>
              <w:t>Implementacja algorytmu</w:t>
            </w:r>
            <w:r>
              <w:rPr>
                <w:rFonts w:cstheme="minorHAnsi"/>
                <w:color w:val="000000" w:themeColor="text1"/>
                <w:sz w:val="18"/>
                <w:szCs w:val="18"/>
              </w:rPr>
              <w:t xml:space="preserve"> </w:t>
            </w:r>
            <w:proofErr w:type="spellStart"/>
            <w:r>
              <w:rPr>
                <w:rFonts w:cstheme="minorHAnsi"/>
                <w:color w:val="000000" w:themeColor="text1"/>
                <w:sz w:val="18"/>
                <w:szCs w:val="18"/>
              </w:rPr>
              <w:t>Shaped</w:t>
            </w:r>
            <w:proofErr w:type="spellEnd"/>
            <w:r>
              <w:rPr>
                <w:rFonts w:eastAsia="MS Mincho" w:cstheme="minorHAnsi"/>
                <w:color w:val="000000" w:themeColor="text1"/>
                <w:sz w:val="18"/>
                <w:szCs w:val="18"/>
              </w:rPr>
              <w:t xml:space="preserve"> </w:t>
            </w:r>
            <w:proofErr w:type="spellStart"/>
            <w:r>
              <w:rPr>
                <w:rFonts w:eastAsia="MS Mincho" w:cstheme="minorHAnsi"/>
                <w:color w:val="000000" w:themeColor="text1"/>
                <w:sz w:val="18"/>
                <w:szCs w:val="18"/>
              </w:rPr>
              <w:t>Round</w:t>
            </w:r>
            <w:proofErr w:type="spellEnd"/>
            <w:r>
              <w:rPr>
                <w:rFonts w:eastAsia="MS Mincho" w:cstheme="minorHAnsi"/>
                <w:color w:val="000000" w:themeColor="text1"/>
                <w:sz w:val="18"/>
                <w:szCs w:val="18"/>
              </w:rPr>
              <w:t xml:space="preserve"> Robin lub podobnego dla obsługi kolejek</w:t>
            </w:r>
          </w:p>
          <w:p w:rsidR="008A4294" w:rsidRDefault="00D67304">
            <w:pPr>
              <w:pStyle w:val="Akapitzlist"/>
              <w:numPr>
                <w:ilvl w:val="0"/>
                <w:numId w:val="10"/>
              </w:numPr>
              <w:spacing w:after="200" w:line="240" w:lineRule="auto"/>
              <w:ind w:left="359"/>
              <w:rPr>
                <w:rFonts w:cstheme="minorHAnsi"/>
                <w:color w:val="000000" w:themeColor="text1"/>
                <w:sz w:val="18"/>
                <w:szCs w:val="18"/>
                <w:shd w:val="clear" w:color="auto" w:fill="FFFFFF"/>
                <w:lang w:val="en-US"/>
              </w:rPr>
            </w:pPr>
            <w:r>
              <w:rPr>
                <w:rFonts w:eastAsia="MS Mincho" w:cstheme="minorHAnsi"/>
                <w:color w:val="000000" w:themeColor="text1"/>
                <w:sz w:val="18"/>
                <w:szCs w:val="18"/>
              </w:rPr>
              <w:t>Możliwość obsługi jednej z powyżej wspomnianych kolejek z bezwzględnym priorytetem w stosunku do innych (</w:t>
            </w:r>
            <w:proofErr w:type="spellStart"/>
            <w:r>
              <w:rPr>
                <w:rFonts w:eastAsia="MS Mincho" w:cstheme="minorHAnsi"/>
                <w:color w:val="000000" w:themeColor="text1"/>
                <w:sz w:val="18"/>
                <w:szCs w:val="18"/>
              </w:rPr>
              <w:t>Strict</w:t>
            </w:r>
            <w:proofErr w:type="spellEnd"/>
            <w:r>
              <w:rPr>
                <w:rFonts w:eastAsia="MS Mincho" w:cstheme="minorHAnsi"/>
                <w:color w:val="000000" w:themeColor="text1"/>
                <w:sz w:val="18"/>
                <w:szCs w:val="18"/>
              </w:rPr>
              <w:t xml:space="preserve"> </w:t>
            </w:r>
            <w:proofErr w:type="spellStart"/>
            <w:r>
              <w:rPr>
                <w:rFonts w:eastAsia="MS Mincho" w:cstheme="minorHAnsi"/>
                <w:color w:val="000000" w:themeColor="text1"/>
                <w:sz w:val="18"/>
                <w:szCs w:val="18"/>
              </w:rPr>
              <w:t>Priority</w:t>
            </w:r>
            <w:proofErr w:type="spellEnd"/>
            <w:r>
              <w:rPr>
                <w:rFonts w:eastAsia="MS Mincho" w:cstheme="minorHAnsi"/>
                <w:color w:val="000000" w:themeColor="text1"/>
                <w:sz w:val="18"/>
                <w:szCs w:val="18"/>
              </w:rPr>
              <w:t>)</w:t>
            </w:r>
          </w:p>
        </w:tc>
      </w:tr>
      <w:tr w:rsidR="008A4294">
        <w:trPr>
          <w:trHeight w:val="707"/>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shd w:val="clear" w:color="auto" w:fill="FFFFFF"/>
              </w:rPr>
            </w:pPr>
            <w:r>
              <w:rPr>
                <w:rFonts w:ascii="Calibri" w:hAnsi="Calibri" w:cs="Calibri"/>
                <w:color w:val="000000" w:themeColor="text1"/>
                <w:sz w:val="18"/>
                <w:szCs w:val="18"/>
                <w:shd w:val="clear" w:color="auto" w:fill="FFFFFF"/>
              </w:rPr>
              <w:t>Zasilanie</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spacing w:line="240" w:lineRule="auto"/>
              <w:rPr>
                <w:rFonts w:eastAsia="MS Mincho" w:cstheme="minorHAnsi"/>
                <w:color w:val="000000" w:themeColor="text1"/>
                <w:sz w:val="18"/>
                <w:szCs w:val="18"/>
              </w:rPr>
            </w:pPr>
            <w:r>
              <w:rPr>
                <w:rFonts w:eastAsia="MS Mincho" w:cstheme="minorHAnsi"/>
                <w:color w:val="000000" w:themeColor="text1"/>
                <w:sz w:val="18"/>
                <w:szCs w:val="18"/>
              </w:rPr>
              <w:t>Zasilacz 230V AC, możliwość instalacji zasilacza redundantnego.</w:t>
            </w:r>
          </w:p>
          <w:p w:rsidR="008A4294" w:rsidRDefault="00D67304">
            <w:pPr>
              <w:spacing w:line="240" w:lineRule="auto"/>
              <w:rPr>
                <w:rFonts w:cstheme="minorHAnsi"/>
                <w:color w:val="000000" w:themeColor="text1"/>
                <w:sz w:val="18"/>
                <w:szCs w:val="18"/>
              </w:rPr>
            </w:pPr>
            <w:r>
              <w:rPr>
                <w:rFonts w:eastAsia="MS Mincho" w:cstheme="minorHAnsi"/>
                <w:color w:val="000000" w:themeColor="text1"/>
                <w:sz w:val="18"/>
                <w:szCs w:val="18"/>
              </w:rPr>
              <w:t>Urządzenie musi być dostarczone z kompletem przewodów zasilających, umożliwiających podłączenie do gniazd typu E oraz typu C14. Do każdego zasilacza powinny być dostarczone dwa przewody, po jednym każdego z wymienionych typów po stronie źródła zasilania. Długość przewodów powinna wynosić minimum 1,5m.</w:t>
            </w:r>
          </w:p>
        </w:tc>
      </w:tr>
      <w:tr w:rsidR="008A4294">
        <w:trPr>
          <w:trHeight w:val="299"/>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shd w:val="clear" w:color="auto" w:fill="FFFFFF"/>
              </w:rPr>
            </w:pPr>
            <w:r>
              <w:rPr>
                <w:rFonts w:ascii="Calibri" w:hAnsi="Calibri" w:cs="Calibri"/>
                <w:color w:val="000000" w:themeColor="text1"/>
                <w:sz w:val="18"/>
                <w:szCs w:val="18"/>
                <w:shd w:val="clear" w:color="auto" w:fill="FFFFFF"/>
              </w:rPr>
              <w:t>Dodatkowe wymagania</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spacing w:line="240" w:lineRule="auto"/>
              <w:rPr>
                <w:rFonts w:eastAsia="MS Mincho" w:cstheme="minorHAnsi"/>
                <w:color w:val="000000" w:themeColor="text1"/>
                <w:sz w:val="18"/>
                <w:szCs w:val="18"/>
              </w:rPr>
            </w:pPr>
            <w:r>
              <w:rPr>
                <w:rFonts w:eastAsia="MS Mincho" w:cstheme="minorHAnsi"/>
                <w:color w:val="000000" w:themeColor="text1"/>
                <w:sz w:val="18"/>
                <w:szCs w:val="18"/>
              </w:rPr>
              <w:t>Wszystkie przełączniki muszą być tego samego producenta i modelu.</w:t>
            </w:r>
          </w:p>
        </w:tc>
      </w:tr>
      <w:tr w:rsidR="008A4294">
        <w:trPr>
          <w:trHeight w:val="284"/>
        </w:trPr>
        <w:tc>
          <w:tcPr>
            <w:tcW w:w="567" w:type="dxa"/>
            <w:tcBorders>
              <w:top w:val="single" w:sz="4" w:space="0" w:color="000000"/>
              <w:left w:val="single" w:sz="4" w:space="0" w:color="000000"/>
              <w:bottom w:val="single" w:sz="4" w:space="0" w:color="000000"/>
            </w:tcBorders>
            <w:shd w:val="clear" w:color="auto" w:fill="auto"/>
            <w:vAlign w:val="center"/>
          </w:tcPr>
          <w:p w:rsidR="008A4294" w:rsidRDefault="008A4294">
            <w:pPr>
              <w:numPr>
                <w:ilvl w:val="0"/>
                <w:numId w:val="15"/>
              </w:numPr>
              <w:suppressAutoHyphens/>
              <w:snapToGrid w:val="0"/>
              <w:spacing w:after="200" w:line="240" w:lineRule="auto"/>
              <w:rPr>
                <w:rFonts w:ascii="Calibri" w:hAnsi="Calibri" w:cs="Calibri"/>
                <w:color w:val="000000" w:themeColor="text1"/>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spacing w:line="240" w:lineRule="auto"/>
              <w:rPr>
                <w:rFonts w:ascii="Calibri" w:hAnsi="Calibri" w:cs="Calibri"/>
                <w:color w:val="000000" w:themeColor="text1"/>
                <w:sz w:val="18"/>
                <w:szCs w:val="18"/>
              </w:rPr>
            </w:pPr>
            <w:r>
              <w:rPr>
                <w:rFonts w:ascii="Calibri" w:hAnsi="Calibri" w:cs="Calibri"/>
                <w:color w:val="000000" w:themeColor="text1"/>
                <w:sz w:val="18"/>
                <w:szCs w:val="18"/>
                <w:shd w:val="clear" w:color="auto" w:fill="FFFFFF"/>
              </w:rPr>
              <w:t>Gwarancja</w:t>
            </w:r>
          </w:p>
        </w:tc>
        <w:tc>
          <w:tcPr>
            <w:tcW w:w="7163" w:type="dxa"/>
            <w:tcBorders>
              <w:top w:val="single" w:sz="6" w:space="0" w:color="000000"/>
              <w:left w:val="single" w:sz="4" w:space="0" w:color="000000"/>
              <w:bottom w:val="single" w:sz="6" w:space="0" w:color="000000"/>
              <w:right w:val="single" w:sz="4" w:space="0" w:color="000000"/>
            </w:tcBorders>
            <w:shd w:val="clear" w:color="auto" w:fill="auto"/>
          </w:tcPr>
          <w:p w:rsidR="008A4294" w:rsidRDefault="00D67304">
            <w:pPr>
              <w:pStyle w:val="Akapitzlist"/>
              <w:numPr>
                <w:ilvl w:val="0"/>
                <w:numId w:val="14"/>
              </w:numPr>
              <w:spacing w:after="0" w:line="240" w:lineRule="auto"/>
              <w:ind w:left="359"/>
              <w:jc w:val="both"/>
              <w:rPr>
                <w:rFonts w:cstheme="minorHAnsi"/>
                <w:color w:val="000000" w:themeColor="text1"/>
                <w:sz w:val="18"/>
                <w:szCs w:val="18"/>
              </w:rPr>
            </w:pPr>
            <w:r>
              <w:rPr>
                <w:rFonts w:cstheme="minorHAnsi"/>
                <w:color w:val="000000" w:themeColor="text1"/>
                <w:sz w:val="18"/>
                <w:szCs w:val="18"/>
              </w:rPr>
              <w:t>Urządzenie musi być objęte gwarancją na okres min 36 miesięcy z reżimem serwisowym 8x5xNBD</w:t>
            </w:r>
          </w:p>
          <w:p w:rsidR="008A4294" w:rsidRDefault="00D67304">
            <w:pPr>
              <w:pStyle w:val="Akapitzlist"/>
              <w:numPr>
                <w:ilvl w:val="0"/>
                <w:numId w:val="14"/>
              </w:numPr>
              <w:spacing w:after="0" w:line="240" w:lineRule="auto"/>
              <w:ind w:left="359"/>
              <w:jc w:val="both"/>
              <w:rPr>
                <w:rFonts w:cstheme="minorHAnsi"/>
                <w:color w:val="000000" w:themeColor="text1"/>
                <w:sz w:val="18"/>
                <w:szCs w:val="18"/>
              </w:rPr>
            </w:pPr>
            <w:r>
              <w:rPr>
                <w:rFonts w:cstheme="minorHAnsi"/>
                <w:color w:val="000000" w:themeColor="text1"/>
                <w:sz w:val="18"/>
                <w:szCs w:val="18"/>
              </w:rPr>
              <w:t>Zamawiający wymaga, by dostarczone urządzenia były fabrycznie nowe, wyprodukowane nie dawniej niż na 12 miesięcy przed ich dostarczeniem.</w:t>
            </w:r>
          </w:p>
          <w:p w:rsidR="008A4294" w:rsidRDefault="00D67304">
            <w:pPr>
              <w:pStyle w:val="Akapitzlist"/>
              <w:numPr>
                <w:ilvl w:val="0"/>
                <w:numId w:val="14"/>
              </w:numPr>
              <w:spacing w:after="200" w:line="240" w:lineRule="auto"/>
              <w:ind w:left="359"/>
              <w:jc w:val="both"/>
              <w:rPr>
                <w:rFonts w:cstheme="minorHAnsi"/>
                <w:color w:val="000000" w:themeColor="text1"/>
                <w:sz w:val="18"/>
                <w:szCs w:val="18"/>
              </w:rPr>
            </w:pPr>
            <w:r>
              <w:rPr>
                <w:rFonts w:cstheme="minorHAnsi"/>
                <w:color w:val="000000" w:themeColor="text1"/>
                <w:sz w:val="18"/>
                <w:szCs w:val="18"/>
              </w:rPr>
              <w:t>Zamawiający musi mieć zapewnioną możliwość aktualizacji systemu operacyjnego (pobrania nowej wersji) poprzez stronę producenta przez okres nie krótszy niż udzielona na urządzenie gwarancja.</w:t>
            </w:r>
          </w:p>
          <w:p w:rsidR="008A4294" w:rsidRDefault="00D67304">
            <w:pPr>
              <w:pStyle w:val="Akapitzlist"/>
              <w:numPr>
                <w:ilvl w:val="0"/>
                <w:numId w:val="14"/>
              </w:numPr>
              <w:spacing w:after="0" w:line="240" w:lineRule="auto"/>
              <w:ind w:left="359"/>
              <w:jc w:val="both"/>
              <w:rPr>
                <w:rFonts w:cstheme="minorHAnsi"/>
                <w:color w:val="000000" w:themeColor="text1"/>
                <w:sz w:val="18"/>
                <w:szCs w:val="18"/>
              </w:rPr>
            </w:pPr>
            <w:r>
              <w:rPr>
                <w:rFonts w:cstheme="minorHAnsi"/>
                <w:color w:val="000000" w:themeColor="text1"/>
                <w:sz w:val="18"/>
                <w:szCs w:val="18"/>
              </w:rPr>
              <w:t>Urządzenia muszą pochodzić z oficjalnego i autoryzowanego kanału sprzedaży producenta urządzenia. Zamawiający zastrzega sobie możliwość weryfikacji numerów seryjnych dostarczonego urządzenia u Producenta w celu sprawdzenia czy urządzenie pochodzi z legalnego kanału sprzedaży oraz czy jest u producenta zarejestrowane na Zamawiającego jako klienta końcowego.</w:t>
            </w:r>
          </w:p>
          <w:p w:rsidR="008A4294" w:rsidRDefault="00D67304">
            <w:pPr>
              <w:pStyle w:val="Akapitzlist"/>
              <w:numPr>
                <w:ilvl w:val="0"/>
                <w:numId w:val="14"/>
              </w:numPr>
              <w:spacing w:after="0" w:line="240" w:lineRule="auto"/>
              <w:ind w:left="359"/>
              <w:jc w:val="both"/>
              <w:rPr>
                <w:rFonts w:cstheme="minorHAnsi"/>
                <w:color w:val="000000" w:themeColor="text1"/>
                <w:sz w:val="18"/>
                <w:szCs w:val="18"/>
              </w:rPr>
            </w:pPr>
            <w:r>
              <w:rPr>
                <w:rFonts w:cstheme="minorHAnsi"/>
                <w:color w:val="000000" w:themeColor="text1"/>
                <w:sz w:val="18"/>
                <w:szCs w:val="18"/>
              </w:rPr>
              <w:t xml:space="preserve">Oferowane urządzenia w dniu składania ofert nie mogą być przeznaczone przez producenta do wycofania z produkcji lub sprzedaży (End Of Life, End Of Sale). </w:t>
            </w:r>
          </w:p>
          <w:p w:rsidR="008A4294" w:rsidRDefault="00D67304">
            <w:pPr>
              <w:pStyle w:val="Akapitzlist"/>
              <w:numPr>
                <w:ilvl w:val="0"/>
                <w:numId w:val="14"/>
              </w:numPr>
              <w:spacing w:after="0" w:line="240" w:lineRule="auto"/>
              <w:ind w:left="359"/>
              <w:jc w:val="both"/>
              <w:rPr>
                <w:rFonts w:eastAsia="MS Mincho" w:cstheme="minorHAnsi"/>
                <w:color w:val="000000" w:themeColor="text1"/>
                <w:sz w:val="18"/>
                <w:szCs w:val="18"/>
              </w:rPr>
            </w:pPr>
            <w:r>
              <w:rPr>
                <w:rFonts w:cstheme="minorHAnsi"/>
                <w:color w:val="000000" w:themeColor="text1"/>
                <w:sz w:val="18"/>
                <w:szCs w:val="18"/>
              </w:rPr>
              <w:t>Zamawiający wymaga, by serwis był świadczony bezpośrednio przez producenta urządzeń na podstawie kontraktów serwisowych Producenta, to jest by zapewniona była naprawa lub wymiana urządzeń lub ich części, na części oryginalne, zgodnie z metodyka i zaleceniami Producenta.</w:t>
            </w:r>
          </w:p>
          <w:p w:rsidR="008A4294" w:rsidRDefault="00D67304">
            <w:pPr>
              <w:pStyle w:val="Akapitzlist"/>
              <w:numPr>
                <w:ilvl w:val="0"/>
                <w:numId w:val="14"/>
              </w:numPr>
              <w:spacing w:after="0" w:line="240" w:lineRule="auto"/>
              <w:ind w:left="359"/>
              <w:jc w:val="both"/>
              <w:rPr>
                <w:rFonts w:cstheme="minorHAnsi"/>
                <w:color w:val="000000" w:themeColor="text1"/>
                <w:sz w:val="18"/>
                <w:szCs w:val="18"/>
              </w:rPr>
            </w:pPr>
            <w:r>
              <w:rPr>
                <w:rFonts w:cstheme="minorHAnsi"/>
                <w:color w:val="000000" w:themeColor="text1"/>
                <w:sz w:val="18"/>
                <w:szCs w:val="18"/>
              </w:rPr>
              <w:t xml:space="preserve">Wykonawca gwarantuje, iż sprzęt </w:t>
            </w:r>
            <w:bookmarkStart w:id="5" w:name="OLE_LINK43"/>
            <w:bookmarkStart w:id="6" w:name="OLE_LINK44"/>
            <w:r>
              <w:rPr>
                <w:rFonts w:cstheme="minorHAnsi"/>
                <w:color w:val="000000" w:themeColor="text1"/>
                <w:sz w:val="18"/>
                <w:szCs w:val="18"/>
              </w:rPr>
              <w:t>dostarczony w ramach realizacji umowy pochodzi z legalnego źródła i nie jest częścią żadnego projektu oferowanego dla innych podmiotów</w:t>
            </w:r>
            <w:bookmarkEnd w:id="5"/>
            <w:bookmarkEnd w:id="6"/>
            <w:r>
              <w:rPr>
                <w:rFonts w:cstheme="minorHAnsi"/>
                <w:color w:val="000000" w:themeColor="text1"/>
                <w:sz w:val="18"/>
                <w:szCs w:val="18"/>
              </w:rPr>
              <w:t>.</w:t>
            </w:r>
            <w:bookmarkStart w:id="7" w:name="OLE_LINK29"/>
            <w:bookmarkStart w:id="8" w:name="OLE_LINK30"/>
            <w:r>
              <w:rPr>
                <w:szCs w:val="24"/>
              </w:rPr>
              <w:t xml:space="preserve"> </w:t>
            </w:r>
          </w:p>
          <w:p w:rsidR="008A4294" w:rsidRDefault="00D67304">
            <w:pPr>
              <w:pStyle w:val="Akapitzlist"/>
              <w:numPr>
                <w:ilvl w:val="0"/>
                <w:numId w:val="14"/>
              </w:numPr>
              <w:spacing w:after="0" w:line="240" w:lineRule="auto"/>
              <w:ind w:left="359"/>
              <w:jc w:val="both"/>
              <w:rPr>
                <w:rFonts w:cstheme="minorHAnsi"/>
                <w:color w:val="000000" w:themeColor="text1"/>
                <w:sz w:val="18"/>
                <w:szCs w:val="18"/>
              </w:rPr>
            </w:pPr>
            <w:bookmarkStart w:id="9" w:name="OLE_LINK40"/>
            <w:bookmarkStart w:id="10" w:name="OLE_LINK41"/>
            <w:bookmarkStart w:id="11" w:name="OLE_LINK42"/>
            <w:r>
              <w:rPr>
                <w:sz w:val="18"/>
                <w:szCs w:val="18"/>
              </w:rPr>
              <w:t>Zamawiaj</w:t>
            </w:r>
            <w:r>
              <w:rPr>
                <w:rFonts w:eastAsia="TimesNewRoman" w:cs="TimesNewRoman"/>
                <w:sz w:val="18"/>
                <w:szCs w:val="18"/>
              </w:rPr>
              <w:t>ą</w:t>
            </w:r>
            <w:r>
              <w:rPr>
                <w:sz w:val="18"/>
                <w:szCs w:val="18"/>
              </w:rPr>
              <w:t xml:space="preserve">cy nie dopuszcza składania ofert </w:t>
            </w:r>
            <w:bookmarkStart w:id="12" w:name="OLE_LINK45"/>
            <w:bookmarkStart w:id="13" w:name="OLE_LINK46"/>
            <w:r>
              <w:rPr>
                <w:sz w:val="18"/>
                <w:szCs w:val="18"/>
              </w:rPr>
              <w:t>zawieraj</w:t>
            </w:r>
            <w:r>
              <w:rPr>
                <w:rFonts w:eastAsia="TimesNewRoman" w:cs="TimesNewRoman"/>
                <w:sz w:val="18"/>
                <w:szCs w:val="18"/>
              </w:rPr>
              <w:t>ą</w:t>
            </w:r>
            <w:r>
              <w:rPr>
                <w:sz w:val="18"/>
                <w:szCs w:val="18"/>
              </w:rPr>
              <w:t>cych sprz</w:t>
            </w:r>
            <w:r>
              <w:rPr>
                <w:rFonts w:eastAsia="TimesNewRoman" w:cs="TimesNewRoman"/>
                <w:sz w:val="18"/>
                <w:szCs w:val="18"/>
              </w:rPr>
              <w:t>ę</w:t>
            </w:r>
            <w:r>
              <w:rPr>
                <w:sz w:val="18"/>
                <w:szCs w:val="18"/>
              </w:rPr>
              <w:t xml:space="preserve">t </w:t>
            </w:r>
            <w:proofErr w:type="spellStart"/>
            <w:r>
              <w:rPr>
                <w:sz w:val="18"/>
                <w:szCs w:val="18"/>
              </w:rPr>
              <w:t>poserwisowy</w:t>
            </w:r>
            <w:proofErr w:type="spellEnd"/>
            <w:r>
              <w:rPr>
                <w:sz w:val="18"/>
                <w:szCs w:val="18"/>
              </w:rPr>
              <w:t xml:space="preserve"> lub </w:t>
            </w:r>
            <w:proofErr w:type="spellStart"/>
            <w:r>
              <w:rPr>
                <w:sz w:val="18"/>
                <w:szCs w:val="18"/>
              </w:rPr>
              <w:t>refabrykowany</w:t>
            </w:r>
            <w:proofErr w:type="spellEnd"/>
            <w:r>
              <w:rPr>
                <w:sz w:val="18"/>
                <w:szCs w:val="18"/>
              </w:rPr>
              <w:t>.</w:t>
            </w:r>
            <w:bookmarkEnd w:id="7"/>
            <w:bookmarkEnd w:id="8"/>
            <w:bookmarkEnd w:id="9"/>
            <w:bookmarkEnd w:id="10"/>
            <w:bookmarkEnd w:id="11"/>
            <w:bookmarkEnd w:id="12"/>
            <w:bookmarkEnd w:id="13"/>
          </w:p>
        </w:tc>
      </w:tr>
    </w:tbl>
    <w:p w:rsidR="008A4294" w:rsidRDefault="008A4294">
      <w:pPr>
        <w:pStyle w:val="Akapitzlist1"/>
        <w:spacing w:line="360" w:lineRule="auto"/>
        <w:jc w:val="both"/>
        <w:rPr>
          <w:rFonts w:asciiTheme="minorHAnsi" w:hAnsiTheme="minorHAnsi" w:cstheme="minorHAnsi"/>
          <w:b/>
        </w:rPr>
      </w:pPr>
    </w:p>
    <w:p w:rsidR="008A4294" w:rsidRPr="00C253DF" w:rsidRDefault="00C253DF" w:rsidP="00C253DF">
      <w:pPr>
        <w:spacing w:after="0" w:line="360" w:lineRule="auto"/>
        <w:ind w:left="142"/>
        <w:jc w:val="both"/>
        <w:rPr>
          <w:rFonts w:cstheme="minorHAnsi"/>
          <w:b/>
          <w:sz w:val="24"/>
          <w:szCs w:val="20"/>
        </w:rPr>
      </w:pPr>
      <w:r>
        <w:rPr>
          <w:rFonts w:cstheme="minorHAnsi"/>
          <w:b/>
          <w:sz w:val="24"/>
          <w:szCs w:val="20"/>
        </w:rPr>
        <w:t>Część III - M</w:t>
      </w:r>
      <w:r w:rsidR="00D67304" w:rsidRPr="00C253DF">
        <w:rPr>
          <w:rFonts w:cstheme="minorHAnsi"/>
          <w:b/>
          <w:sz w:val="24"/>
        </w:rPr>
        <w:t>acierz dyskow</w:t>
      </w:r>
      <w:r>
        <w:rPr>
          <w:rFonts w:cstheme="minorHAnsi"/>
          <w:b/>
          <w:sz w:val="24"/>
        </w:rPr>
        <w:t>a</w:t>
      </w:r>
      <w:r w:rsidR="00D67304" w:rsidRPr="00C253DF">
        <w:rPr>
          <w:rFonts w:cstheme="minorHAnsi"/>
          <w:b/>
          <w:sz w:val="24"/>
        </w:rPr>
        <w:t xml:space="preserve"> do montażu w szafie </w:t>
      </w:r>
      <w:proofErr w:type="spellStart"/>
      <w:r w:rsidR="00D67304" w:rsidRPr="00C253DF">
        <w:rPr>
          <w:rFonts w:cstheme="minorHAnsi"/>
          <w:b/>
          <w:sz w:val="24"/>
        </w:rPr>
        <w:t>rack</w:t>
      </w:r>
      <w:proofErr w:type="spellEnd"/>
    </w:p>
    <w:tbl>
      <w:tblPr>
        <w:tblW w:w="9781" w:type="dxa"/>
        <w:tblInd w:w="71" w:type="dxa"/>
        <w:tblLayout w:type="fixed"/>
        <w:tblCellMar>
          <w:left w:w="71" w:type="dxa"/>
          <w:right w:w="71" w:type="dxa"/>
        </w:tblCellMar>
        <w:tblLook w:val="0000" w:firstRow="0" w:lastRow="0" w:firstColumn="0" w:lastColumn="0" w:noHBand="0" w:noVBand="0"/>
      </w:tblPr>
      <w:tblGrid>
        <w:gridCol w:w="567"/>
        <w:gridCol w:w="2051"/>
        <w:gridCol w:w="7163"/>
      </w:tblGrid>
      <w:tr w:rsidR="008A4294">
        <w:trPr>
          <w:trHeight w:val="284"/>
        </w:trPr>
        <w:tc>
          <w:tcPr>
            <w:tcW w:w="567" w:type="dxa"/>
            <w:tcBorders>
              <w:top w:val="single" w:sz="4" w:space="0" w:color="000000"/>
              <w:left w:val="single" w:sz="4" w:space="0" w:color="000000"/>
              <w:bottom w:val="single" w:sz="4" w:space="0" w:color="000000"/>
            </w:tcBorders>
            <w:shd w:val="clear" w:color="auto" w:fill="D9D9D9"/>
          </w:tcPr>
          <w:p w:rsidR="008A4294" w:rsidRDefault="00D67304">
            <w:pPr>
              <w:jc w:val="center"/>
              <w:rPr>
                <w:rFonts w:ascii="Calibri" w:hAnsi="Calibri" w:cs="Calibri"/>
                <w:b/>
                <w:bCs/>
                <w:sz w:val="18"/>
                <w:szCs w:val="18"/>
              </w:rPr>
            </w:pPr>
            <w:r>
              <w:rPr>
                <w:rFonts w:ascii="Calibri" w:hAnsi="Calibri" w:cs="Calibri"/>
                <w:b/>
                <w:bCs/>
                <w:sz w:val="18"/>
                <w:szCs w:val="18"/>
              </w:rPr>
              <w:t>Lp.</w:t>
            </w:r>
          </w:p>
        </w:tc>
        <w:tc>
          <w:tcPr>
            <w:tcW w:w="2051" w:type="dxa"/>
            <w:tcBorders>
              <w:top w:val="single" w:sz="4" w:space="0" w:color="000000"/>
              <w:left w:val="single" w:sz="4" w:space="0" w:color="000000"/>
              <w:bottom w:val="single" w:sz="4" w:space="0" w:color="000000"/>
            </w:tcBorders>
            <w:shd w:val="clear" w:color="auto" w:fill="D9D9D9"/>
          </w:tcPr>
          <w:p w:rsidR="008A4294" w:rsidRDefault="00D67304">
            <w:pPr>
              <w:jc w:val="center"/>
              <w:rPr>
                <w:rFonts w:ascii="Calibri" w:hAnsi="Calibri" w:cs="Calibri"/>
                <w:b/>
                <w:bCs/>
                <w:sz w:val="18"/>
                <w:szCs w:val="18"/>
              </w:rPr>
            </w:pPr>
            <w:r>
              <w:rPr>
                <w:rFonts w:ascii="Calibri" w:hAnsi="Calibri" w:cs="Calibri"/>
                <w:b/>
                <w:bCs/>
                <w:sz w:val="18"/>
                <w:szCs w:val="18"/>
              </w:rPr>
              <w:t>Nazwa komponentu</w:t>
            </w:r>
          </w:p>
        </w:tc>
        <w:tc>
          <w:tcPr>
            <w:tcW w:w="7163" w:type="dxa"/>
            <w:tcBorders>
              <w:top w:val="single" w:sz="4" w:space="0" w:color="000000"/>
              <w:left w:val="single" w:sz="4" w:space="0" w:color="000000"/>
              <w:bottom w:val="single" w:sz="6" w:space="0" w:color="000000"/>
              <w:right w:val="single" w:sz="4" w:space="0" w:color="000000"/>
            </w:tcBorders>
            <w:shd w:val="clear" w:color="auto" w:fill="D9D9D9"/>
          </w:tcPr>
          <w:p w:rsidR="008A4294" w:rsidRDefault="00D67304">
            <w:pPr>
              <w:ind w:left="-71"/>
              <w:jc w:val="center"/>
              <w:rPr>
                <w:rFonts w:ascii="Calibri" w:hAnsi="Calibri" w:cs="Calibri"/>
                <w:b/>
                <w:bCs/>
                <w:sz w:val="18"/>
                <w:szCs w:val="18"/>
              </w:rPr>
            </w:pPr>
            <w:r>
              <w:rPr>
                <w:rFonts w:ascii="Calibri" w:hAnsi="Calibri" w:cs="Calibri"/>
                <w:b/>
                <w:bCs/>
                <w:sz w:val="18"/>
                <w:szCs w:val="18"/>
              </w:rPr>
              <w:t>Wymagane minimalne parametry techniczne</w:t>
            </w:r>
          </w:p>
        </w:tc>
      </w:tr>
      <w:tr w:rsidR="008A4294">
        <w:trPr>
          <w:trHeight w:val="180"/>
        </w:trPr>
        <w:tc>
          <w:tcPr>
            <w:tcW w:w="567" w:type="dxa"/>
            <w:tcBorders>
              <w:top w:val="single" w:sz="4" w:space="0" w:color="000000"/>
              <w:left w:val="single" w:sz="4" w:space="0" w:color="000000"/>
              <w:bottom w:val="single" w:sz="4" w:space="0" w:color="000000"/>
            </w:tcBorders>
            <w:shd w:val="clear" w:color="auto" w:fill="D9D9D9"/>
          </w:tcPr>
          <w:p w:rsidR="008A4294" w:rsidRDefault="00D67304">
            <w:pPr>
              <w:jc w:val="center"/>
              <w:rPr>
                <w:rFonts w:ascii="Calibri" w:hAnsi="Calibri" w:cs="Calibri"/>
                <w:b/>
                <w:bCs/>
                <w:sz w:val="18"/>
                <w:szCs w:val="18"/>
              </w:rPr>
            </w:pPr>
            <w:r>
              <w:rPr>
                <w:rFonts w:ascii="Calibri" w:hAnsi="Calibri" w:cs="Calibri"/>
                <w:b/>
                <w:bCs/>
                <w:sz w:val="18"/>
                <w:szCs w:val="18"/>
              </w:rPr>
              <w:t>1</w:t>
            </w:r>
          </w:p>
        </w:tc>
        <w:tc>
          <w:tcPr>
            <w:tcW w:w="2051" w:type="dxa"/>
            <w:tcBorders>
              <w:top w:val="single" w:sz="4" w:space="0" w:color="000000"/>
              <w:left w:val="single" w:sz="4" w:space="0" w:color="000000"/>
              <w:bottom w:val="single" w:sz="4" w:space="0" w:color="000000"/>
            </w:tcBorders>
            <w:shd w:val="clear" w:color="auto" w:fill="D9D9D9"/>
          </w:tcPr>
          <w:p w:rsidR="008A4294" w:rsidRDefault="00D67304">
            <w:pPr>
              <w:ind w:left="-71"/>
              <w:jc w:val="center"/>
              <w:rPr>
                <w:rFonts w:ascii="Calibri" w:hAnsi="Calibri" w:cs="Calibri"/>
                <w:b/>
                <w:bCs/>
                <w:sz w:val="18"/>
                <w:szCs w:val="18"/>
              </w:rPr>
            </w:pPr>
            <w:r>
              <w:rPr>
                <w:rFonts w:ascii="Calibri" w:hAnsi="Calibri" w:cs="Calibri"/>
                <w:b/>
                <w:bCs/>
                <w:sz w:val="18"/>
                <w:szCs w:val="18"/>
              </w:rPr>
              <w:t>2</w:t>
            </w:r>
          </w:p>
        </w:tc>
        <w:tc>
          <w:tcPr>
            <w:tcW w:w="7163" w:type="dxa"/>
            <w:tcBorders>
              <w:top w:val="single" w:sz="6" w:space="0" w:color="000000"/>
              <w:left w:val="single" w:sz="4" w:space="0" w:color="000000"/>
              <w:bottom w:val="single" w:sz="6" w:space="0" w:color="000000"/>
              <w:right w:val="single" w:sz="4" w:space="0" w:color="000000"/>
            </w:tcBorders>
            <w:shd w:val="clear" w:color="auto" w:fill="D9D9D9"/>
          </w:tcPr>
          <w:p w:rsidR="008A4294" w:rsidRDefault="00D67304">
            <w:pPr>
              <w:spacing w:after="0" w:line="240" w:lineRule="auto"/>
              <w:jc w:val="center"/>
              <w:rPr>
                <w:rFonts w:ascii="Calibri" w:hAnsi="Calibri" w:cs="Calibri"/>
                <w:b/>
                <w:bCs/>
                <w:sz w:val="18"/>
                <w:szCs w:val="18"/>
              </w:rPr>
            </w:pPr>
            <w:r>
              <w:rPr>
                <w:rFonts w:ascii="Calibri" w:hAnsi="Calibri" w:cs="Calibri"/>
                <w:b/>
                <w:bCs/>
                <w:sz w:val="18"/>
                <w:szCs w:val="18"/>
              </w:rPr>
              <w:t>3</w:t>
            </w:r>
          </w:p>
        </w:tc>
      </w:tr>
      <w:tr w:rsidR="008A4294">
        <w:trPr>
          <w:trHeight w:val="457"/>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17"/>
              </w:numPr>
              <w:suppressAutoHyphens/>
              <w:snapToGrid w:val="0"/>
              <w:spacing w:after="200" w:line="252" w:lineRule="auto"/>
              <w:jc w:val="center"/>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bCs/>
                <w:sz w:val="18"/>
                <w:szCs w:val="18"/>
              </w:rPr>
            </w:pPr>
            <w:r>
              <w:rPr>
                <w:rFonts w:ascii="Calibri" w:hAnsi="Calibri" w:cs="Calibri"/>
                <w:bCs/>
                <w:sz w:val="18"/>
                <w:szCs w:val="18"/>
              </w:rPr>
              <w:t>Obudowa</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rPr>
            </w:pPr>
            <w:r>
              <w:rPr>
                <w:rFonts w:ascii="Calibri" w:hAnsi="Calibri" w:cs="Calibri"/>
                <w:sz w:val="18"/>
                <w:szCs w:val="18"/>
              </w:rPr>
              <w:t>Do  instalacji w standardowej szafie RACK 19”, macierz musi zajmować maksymalnie 2U i pozwalać na instalacje minimum 12 dysków 3.5”.</w:t>
            </w:r>
          </w:p>
        </w:tc>
      </w:tr>
      <w:tr w:rsidR="008A4294">
        <w:trPr>
          <w:trHeight w:val="535"/>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17"/>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rPr>
              <w:t>Kontrolery</w:t>
            </w:r>
          </w:p>
        </w:tc>
        <w:tc>
          <w:tcPr>
            <w:tcW w:w="7163" w:type="dxa"/>
            <w:tcBorders>
              <w:top w:val="single" w:sz="6" w:space="0" w:color="000000"/>
              <w:left w:val="single" w:sz="4" w:space="0" w:color="000000"/>
              <w:bottom w:val="single" w:sz="6" w:space="0" w:color="000000"/>
              <w:right w:val="single" w:sz="4" w:space="0" w:color="000000"/>
            </w:tcBorders>
            <w:shd w:val="clear" w:color="auto" w:fill="auto"/>
          </w:tcPr>
          <w:p w:rsidR="008A4294" w:rsidRDefault="00D67304">
            <w:pPr>
              <w:pStyle w:val="Bezodstpw"/>
              <w:rPr>
                <w:rFonts w:ascii="Calibri" w:hAnsi="Calibri" w:cs="Calibri"/>
                <w:sz w:val="18"/>
                <w:szCs w:val="18"/>
              </w:rPr>
            </w:pPr>
            <w:r>
              <w:rPr>
                <w:rFonts w:ascii="Calibri" w:hAnsi="Calibri" w:cs="Calibri"/>
                <w:sz w:val="18"/>
                <w:szCs w:val="18"/>
              </w:rPr>
              <w:t xml:space="preserve">Dwa kontrolery RAID pracujące w układzie </w:t>
            </w:r>
            <w:proofErr w:type="spellStart"/>
            <w:r>
              <w:rPr>
                <w:rFonts w:ascii="Calibri" w:hAnsi="Calibri" w:cs="Calibri"/>
                <w:sz w:val="18"/>
                <w:szCs w:val="18"/>
              </w:rPr>
              <w:t>active-active</w:t>
            </w:r>
            <w:proofErr w:type="spellEnd"/>
            <w:r>
              <w:rPr>
                <w:rFonts w:ascii="Calibri" w:hAnsi="Calibri" w:cs="Calibri"/>
                <w:sz w:val="18"/>
                <w:szCs w:val="18"/>
              </w:rPr>
              <w:t xml:space="preserve"> posiadające łącznie minimum osiem portów </w:t>
            </w:r>
            <w:proofErr w:type="spellStart"/>
            <w:r>
              <w:rPr>
                <w:rFonts w:ascii="Calibri" w:hAnsi="Calibri" w:cs="Calibri"/>
                <w:sz w:val="18"/>
                <w:szCs w:val="18"/>
              </w:rPr>
              <w:t>iSCSI</w:t>
            </w:r>
            <w:proofErr w:type="spellEnd"/>
            <w:r>
              <w:rPr>
                <w:rFonts w:ascii="Calibri" w:hAnsi="Calibri" w:cs="Calibri"/>
                <w:sz w:val="18"/>
                <w:szCs w:val="18"/>
              </w:rPr>
              <w:t xml:space="preserve"> 10GbE SFP+. Należy dostarczyć również 6 kabli </w:t>
            </w:r>
            <w:proofErr w:type="spellStart"/>
            <w:r>
              <w:rPr>
                <w:rFonts w:ascii="Calibri" w:hAnsi="Calibri" w:cs="Calibri"/>
                <w:sz w:val="18"/>
                <w:szCs w:val="18"/>
              </w:rPr>
              <w:t>twinax</w:t>
            </w:r>
            <w:proofErr w:type="spellEnd"/>
            <w:r>
              <w:rPr>
                <w:rFonts w:ascii="Calibri" w:hAnsi="Calibri" w:cs="Calibri"/>
                <w:sz w:val="18"/>
                <w:szCs w:val="18"/>
              </w:rPr>
              <w:t xml:space="preserve"> 10GbE o długości co najmniej 3m kompatybilne z macierzą oraz posiadanymi przez Zamawiającego serwerami R630.</w:t>
            </w:r>
          </w:p>
          <w:p w:rsidR="008A4294" w:rsidRDefault="00D67304">
            <w:pPr>
              <w:pStyle w:val="Bezodstpw"/>
              <w:rPr>
                <w:rFonts w:ascii="Calibri" w:hAnsi="Calibri" w:cs="Calibri"/>
                <w:sz w:val="18"/>
                <w:szCs w:val="18"/>
              </w:rPr>
            </w:pPr>
            <w:r>
              <w:rPr>
                <w:rFonts w:ascii="Calibri" w:hAnsi="Calibri" w:cs="Calibri"/>
                <w:sz w:val="18"/>
                <w:szCs w:val="18"/>
              </w:rPr>
              <w:t>Zamawiający zamierza podłączyć bezpośrednio do nowego systemu posiadane trzy serwery Dell R630 (ST: 7VKBMM2, 7VL7MM2, 7VJ5MM2) w związku z czym należy dostarczyć 6 kart sieciowych co najmniej 2-porty SFP+ każda (po 2 karty na serwer) nowe, nieużywane, w pełni kompatybilne ze wskazanymi serwerami. Instalacja kart nie może naruszyć gwarancji serwerów.</w:t>
            </w:r>
          </w:p>
        </w:tc>
      </w:tr>
      <w:tr w:rsidR="008A4294">
        <w:trPr>
          <w:trHeight w:val="119"/>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17"/>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rPr>
              <w:t>Cache</w:t>
            </w:r>
          </w:p>
        </w:tc>
        <w:tc>
          <w:tcPr>
            <w:tcW w:w="7163" w:type="dxa"/>
            <w:tcBorders>
              <w:top w:val="single" w:sz="6" w:space="0" w:color="000000"/>
              <w:left w:val="single" w:sz="4" w:space="0" w:color="000000"/>
              <w:bottom w:val="single" w:sz="6" w:space="0" w:color="000000"/>
              <w:right w:val="single" w:sz="4" w:space="0" w:color="000000"/>
            </w:tcBorders>
            <w:shd w:val="clear" w:color="auto" w:fill="auto"/>
          </w:tcPr>
          <w:p w:rsidR="008A4294" w:rsidRDefault="00D67304">
            <w:pPr>
              <w:pStyle w:val="Bezodstpw"/>
              <w:rPr>
                <w:rFonts w:ascii="Calibri" w:hAnsi="Calibri" w:cs="Calibri"/>
                <w:sz w:val="18"/>
                <w:szCs w:val="18"/>
                <w:shd w:val="clear" w:color="auto" w:fill="FFFFFF"/>
              </w:rPr>
            </w:pPr>
            <w:r>
              <w:rPr>
                <w:rFonts w:ascii="Calibri" w:hAnsi="Calibri" w:cs="Calibri"/>
                <w:sz w:val="18"/>
                <w:szCs w:val="18"/>
                <w:shd w:val="clear" w:color="auto" w:fill="FFFFFF"/>
              </w:rPr>
              <w:t>Minimum 8GB na kontroler, pamięć cache zapisu mirrorowana między kontrolerami, podtrzymywana bateryjnie przez min. 72h w razie awarii.</w:t>
            </w:r>
          </w:p>
        </w:tc>
      </w:tr>
      <w:tr w:rsidR="008A4294">
        <w:trPr>
          <w:trHeight w:val="253"/>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17"/>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rPr>
              <w:t>Dyski</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rPr>
            </w:pPr>
            <w:r>
              <w:rPr>
                <w:rFonts w:ascii="Calibri" w:hAnsi="Calibri" w:cs="Calibri"/>
                <w:sz w:val="18"/>
                <w:szCs w:val="18"/>
              </w:rPr>
              <w:t>Zainstalowane łącznie minimum 12 dysków Hot-Plug SSD 12Gbps do intensywnego odczytu o pojemności minimum 1.92TB każdy. Możliwość rozbudowy przez dokładanie kolejnych dysków/półek dyskowych do łącznie minimum 264 dysków. Możliwość mieszania typów dysków w obrębie macierzy oraz pojedynczej półki.</w:t>
            </w:r>
          </w:p>
        </w:tc>
      </w:tr>
      <w:tr w:rsidR="008A4294">
        <w:trPr>
          <w:trHeight w:val="512"/>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17"/>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rPr>
              <w:t>Porty macierzowe</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rPr>
            </w:pPr>
            <w:r>
              <w:rPr>
                <w:rFonts w:ascii="Calibri" w:hAnsi="Calibri" w:cs="Calibri"/>
                <w:sz w:val="18"/>
                <w:szCs w:val="18"/>
              </w:rPr>
              <w:t>2 porty 1Gbit przeznaczone do zarządzania macierzą</w:t>
            </w:r>
          </w:p>
        </w:tc>
      </w:tr>
      <w:tr w:rsidR="008A4294">
        <w:trPr>
          <w:trHeight w:val="284"/>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17"/>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rPr>
              <w:t>Oprogramowanie/Funkcjonalności</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spacing w:after="0" w:line="240" w:lineRule="auto"/>
              <w:rPr>
                <w:rFonts w:ascii="Calibri" w:hAnsi="Calibri" w:cs="Calibri"/>
                <w:sz w:val="18"/>
                <w:szCs w:val="18"/>
                <w:shd w:val="clear" w:color="auto" w:fill="FFFFFF"/>
              </w:rPr>
            </w:pPr>
            <w:r>
              <w:rPr>
                <w:rFonts w:ascii="Calibri" w:hAnsi="Calibri" w:cs="Calibri"/>
                <w:sz w:val="18"/>
                <w:szCs w:val="18"/>
                <w:shd w:val="clear" w:color="auto" w:fill="FFFFFF"/>
              </w:rPr>
              <w:t xml:space="preserve">Zarządzanie macierzą poprzez minimum przeglądarkę internetową, GUI oparte o HTML5. Powiadamianie mailem o awarii, umożliwiające maskowanie i mapowanie dysków. Macierz powinna zostać dostarczona z licencją umożliwiającą utworzenie minimum 512 </w:t>
            </w:r>
            <w:proofErr w:type="spellStart"/>
            <w:r>
              <w:rPr>
                <w:rFonts w:ascii="Calibri" w:hAnsi="Calibri" w:cs="Calibri"/>
                <w:sz w:val="18"/>
                <w:szCs w:val="18"/>
                <w:shd w:val="clear" w:color="auto" w:fill="FFFFFF"/>
              </w:rPr>
              <w:t>LUN’ów</w:t>
            </w:r>
            <w:proofErr w:type="spellEnd"/>
            <w:r>
              <w:rPr>
                <w:rFonts w:ascii="Calibri" w:hAnsi="Calibri" w:cs="Calibri"/>
                <w:sz w:val="18"/>
                <w:szCs w:val="18"/>
                <w:shd w:val="clear" w:color="auto" w:fill="FFFFFF"/>
              </w:rPr>
              <w:t xml:space="preserve"> oraz 1024 kopii migawkowych na całą macierz.</w:t>
            </w:r>
          </w:p>
          <w:p w:rsidR="008A4294" w:rsidRDefault="00D67304">
            <w:pPr>
              <w:spacing w:after="0" w:line="240" w:lineRule="auto"/>
              <w:rPr>
                <w:rFonts w:ascii="Calibri" w:hAnsi="Calibri" w:cs="Calibri"/>
                <w:sz w:val="18"/>
                <w:szCs w:val="18"/>
                <w:shd w:val="clear" w:color="auto" w:fill="FFFFFF"/>
              </w:rPr>
            </w:pPr>
            <w:r>
              <w:rPr>
                <w:rFonts w:ascii="Calibri" w:hAnsi="Calibri" w:cs="Calibri"/>
                <w:sz w:val="18"/>
                <w:szCs w:val="18"/>
                <w:shd w:val="clear" w:color="auto" w:fill="FFFFFF"/>
              </w:rPr>
              <w:t xml:space="preserve">Licencja zaoferowanej macierzy powinna umożliwiać podłączanie minimum 8 hostów bez konieczności zakupu dodatkowych licencji. </w:t>
            </w:r>
          </w:p>
          <w:p w:rsidR="008A4294" w:rsidRDefault="00D67304">
            <w:pPr>
              <w:spacing w:after="0" w:line="240" w:lineRule="auto"/>
              <w:rPr>
                <w:rFonts w:ascii="Calibri" w:hAnsi="Calibri" w:cs="Calibri"/>
                <w:sz w:val="18"/>
                <w:szCs w:val="18"/>
                <w:shd w:val="clear" w:color="auto" w:fill="FFFFFF"/>
              </w:rPr>
            </w:pPr>
            <w:r>
              <w:rPr>
                <w:rFonts w:ascii="Calibri" w:hAnsi="Calibri" w:cs="Calibri"/>
                <w:sz w:val="18"/>
                <w:szCs w:val="18"/>
                <w:shd w:val="clear" w:color="auto" w:fill="FFFFFF"/>
              </w:rPr>
              <w:t>Konieczne jest posiadanie automatycznego, bez interwencji człowieka, rozkładania danych między dyskami poszczególnych typów (tzw. auto-</w:t>
            </w:r>
            <w:proofErr w:type="spellStart"/>
            <w:r>
              <w:rPr>
                <w:rFonts w:ascii="Calibri" w:hAnsi="Calibri" w:cs="Calibri"/>
                <w:sz w:val="18"/>
                <w:szCs w:val="18"/>
                <w:shd w:val="clear" w:color="auto" w:fill="FFFFFF"/>
              </w:rPr>
              <w:t>tiering</w:t>
            </w:r>
            <w:proofErr w:type="spellEnd"/>
            <w:r>
              <w:rPr>
                <w:rFonts w:ascii="Calibri" w:hAnsi="Calibri" w:cs="Calibri"/>
                <w:sz w:val="18"/>
                <w:szCs w:val="18"/>
                <w:shd w:val="clear" w:color="auto" w:fill="FFFFFF"/>
              </w:rPr>
              <w:t>). Dane muszą być automatycznie przemieszczane między rożnymi typami dysków.</w:t>
            </w:r>
          </w:p>
          <w:p w:rsidR="008A4294" w:rsidRDefault="00D67304">
            <w:pPr>
              <w:spacing w:after="0" w:line="240" w:lineRule="auto"/>
              <w:rPr>
                <w:rFonts w:ascii="Calibri" w:hAnsi="Calibri" w:cs="Calibri"/>
                <w:sz w:val="18"/>
                <w:szCs w:val="18"/>
                <w:shd w:val="clear" w:color="auto" w:fill="FFFFFF"/>
              </w:rPr>
            </w:pPr>
            <w:r>
              <w:rPr>
                <w:rFonts w:ascii="Calibri" w:hAnsi="Calibri" w:cs="Calibri"/>
                <w:sz w:val="18"/>
                <w:szCs w:val="18"/>
                <w:shd w:val="clear" w:color="auto" w:fill="FFFFFF"/>
              </w:rPr>
              <w:t>Możliwość wykorzystania dysków SSD jako cache macierzy, możliwość rozbudowy pamięci cache do min. 4TB poprzez dyski SSD.</w:t>
            </w:r>
          </w:p>
          <w:p w:rsidR="008A4294" w:rsidRDefault="00D67304">
            <w:pPr>
              <w:spacing w:after="0" w:line="240" w:lineRule="auto"/>
              <w:rPr>
                <w:rFonts w:ascii="Calibri" w:hAnsi="Calibri" w:cs="Calibri"/>
                <w:sz w:val="18"/>
                <w:szCs w:val="18"/>
                <w:shd w:val="clear" w:color="auto" w:fill="FFFFFF"/>
              </w:rPr>
            </w:pPr>
            <w:r>
              <w:rPr>
                <w:rFonts w:ascii="Calibri" w:hAnsi="Calibri" w:cs="Calibri"/>
                <w:sz w:val="18"/>
                <w:szCs w:val="18"/>
                <w:shd w:val="clear" w:color="auto" w:fill="FFFFFF"/>
              </w:rPr>
              <w:t>Macierz musi posiadać funkcjonalność zdalnej replikacji danych do macierzy tej samej rodziny w trybie asynchronicznym.</w:t>
            </w:r>
          </w:p>
        </w:tc>
      </w:tr>
      <w:tr w:rsidR="008A4294">
        <w:trPr>
          <w:trHeight w:val="701"/>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17"/>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rPr>
            </w:pPr>
            <w:r>
              <w:rPr>
                <w:rFonts w:ascii="Calibri" w:hAnsi="Calibri" w:cs="Calibri"/>
                <w:sz w:val="18"/>
                <w:szCs w:val="18"/>
              </w:rPr>
              <w:t>Wsparcie dla systemów operacyjnych</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shd w:val="clear" w:color="auto" w:fill="FFFFFF"/>
                <w:lang w:val="en-US"/>
              </w:rPr>
            </w:pPr>
            <w:r>
              <w:rPr>
                <w:rFonts w:ascii="Calibri" w:hAnsi="Calibri" w:cs="Calibri"/>
                <w:sz w:val="18"/>
                <w:szCs w:val="18"/>
                <w:shd w:val="clear" w:color="auto" w:fill="FFFFFF"/>
                <w:lang w:val="en-US"/>
              </w:rPr>
              <w:t xml:space="preserve">Windows Server 2016, Red Hat Enterprise Linux (RHEL), SLES, VMware </w:t>
            </w:r>
            <w:proofErr w:type="spellStart"/>
            <w:r>
              <w:rPr>
                <w:rFonts w:ascii="Calibri" w:hAnsi="Calibri" w:cs="Calibri"/>
                <w:sz w:val="18"/>
                <w:szCs w:val="18"/>
                <w:shd w:val="clear" w:color="auto" w:fill="FFFFFF"/>
                <w:lang w:val="en-US"/>
              </w:rPr>
              <w:t>ESXi</w:t>
            </w:r>
            <w:proofErr w:type="spellEnd"/>
            <w:r>
              <w:rPr>
                <w:rFonts w:ascii="Calibri" w:hAnsi="Calibri" w:cs="Calibri"/>
                <w:sz w:val="18"/>
                <w:szCs w:val="18"/>
                <w:shd w:val="clear" w:color="auto" w:fill="FFFFFF"/>
                <w:lang w:val="en-US"/>
              </w:rPr>
              <w:t>.</w:t>
            </w:r>
          </w:p>
        </w:tc>
      </w:tr>
      <w:tr w:rsidR="008A4294">
        <w:trPr>
          <w:trHeight w:val="701"/>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17"/>
              </w:numPr>
              <w:suppressAutoHyphens/>
              <w:snapToGrid w:val="0"/>
              <w:spacing w:after="200" w:line="252" w:lineRule="auto"/>
              <w:rPr>
                <w:rFonts w:ascii="Calibri" w:hAnsi="Calibri" w:cs="Calibri"/>
                <w:sz w:val="18"/>
                <w:szCs w:val="18"/>
                <w:lang w:val="en-US"/>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rPr>
                <w:rFonts w:ascii="Calibri" w:hAnsi="Calibri" w:cs="Calibri"/>
                <w:sz w:val="18"/>
                <w:szCs w:val="18"/>
                <w:shd w:val="clear" w:color="auto" w:fill="FFFFFF"/>
              </w:rPr>
            </w:pPr>
            <w:r>
              <w:rPr>
                <w:rFonts w:ascii="Calibri" w:hAnsi="Calibri" w:cs="Calibri"/>
                <w:sz w:val="18"/>
                <w:szCs w:val="18"/>
                <w:shd w:val="clear" w:color="auto" w:fill="FFFFFF"/>
              </w:rPr>
              <w:t>Bezpieczeństwo</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spacing w:after="0"/>
              <w:rPr>
                <w:rFonts w:ascii="Calibri" w:hAnsi="Calibri" w:cs="Calibri"/>
                <w:sz w:val="18"/>
                <w:szCs w:val="18"/>
                <w:shd w:val="clear" w:color="auto" w:fill="FFFFFF"/>
              </w:rPr>
            </w:pPr>
            <w:r>
              <w:rPr>
                <w:rFonts w:ascii="Calibri" w:hAnsi="Calibri" w:cs="Calibri"/>
                <w:sz w:val="18"/>
                <w:szCs w:val="18"/>
                <w:shd w:val="clear" w:color="auto" w:fill="FFFFFF"/>
              </w:rPr>
              <w:t>Ciągła praca obu kontrolerów nawet w przypadku zaniku jednej z faz zasilania. Zasilacze, wentylatory redundantne, kontrolery RAID redundantne obsługujące poziomy min. 5,6,10.</w:t>
            </w:r>
          </w:p>
        </w:tc>
      </w:tr>
      <w:tr w:rsidR="008A4294">
        <w:trPr>
          <w:trHeight w:val="159"/>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17"/>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vAlign w:val="center"/>
          </w:tcPr>
          <w:p w:rsidR="008A4294" w:rsidRDefault="00D67304">
            <w:pPr>
              <w:rPr>
                <w:rFonts w:ascii="Calibri" w:hAnsi="Calibri" w:cs="Calibri"/>
                <w:sz w:val="18"/>
                <w:szCs w:val="18"/>
                <w:shd w:val="clear" w:color="auto" w:fill="FFFFFF"/>
              </w:rPr>
            </w:pPr>
            <w:r>
              <w:rPr>
                <w:rFonts w:ascii="Calibri" w:hAnsi="Calibri" w:cs="Calibri"/>
                <w:sz w:val="18"/>
                <w:szCs w:val="18"/>
                <w:shd w:val="clear" w:color="auto" w:fill="FFFFFF"/>
              </w:rPr>
              <w:t>Gwarancja</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rPr>
            </w:pPr>
            <w:r>
              <w:rPr>
                <w:rFonts w:ascii="Calibri" w:hAnsi="Calibri" w:cs="Calibri"/>
                <w:sz w:val="18"/>
                <w:szCs w:val="18"/>
              </w:rPr>
              <w:t xml:space="preserve">Pięć lat gwarancji realizowanej w miejscu instalacji sprzętu, z czasem reakcji do następnego dnia roboczego od przyjęcia zgłoszenia, możliwość zgłaszania awarii w trybie 365x7x24 poprzez ogólnopolską linię telefoniczną producenta. </w:t>
            </w:r>
          </w:p>
          <w:p w:rsidR="008A4294" w:rsidRDefault="00D67304">
            <w:pPr>
              <w:rPr>
                <w:rFonts w:ascii="Calibri" w:hAnsi="Calibri" w:cs="Calibri"/>
                <w:sz w:val="18"/>
                <w:szCs w:val="18"/>
              </w:rPr>
            </w:pPr>
            <w:r>
              <w:rPr>
                <w:rFonts w:ascii="Calibri" w:hAnsi="Calibri" w:cs="Calibri"/>
                <w:sz w:val="18"/>
                <w:szCs w:val="18"/>
              </w:rPr>
              <w:t>W przypadku awarii nośników pozostają one własnością Zamawiającego.</w:t>
            </w:r>
          </w:p>
          <w:p w:rsidR="008A4294" w:rsidRDefault="00D67304">
            <w:pPr>
              <w:rPr>
                <w:rFonts w:ascii="Calibri" w:hAnsi="Calibri" w:cs="Calibri"/>
                <w:sz w:val="18"/>
                <w:szCs w:val="18"/>
              </w:rPr>
            </w:pPr>
            <w:r>
              <w:rPr>
                <w:rFonts w:ascii="Calibri" w:hAnsi="Calibri" w:cs="Calibri"/>
                <w:sz w:val="18"/>
                <w:szCs w:val="18"/>
              </w:rPr>
              <w:t>Wymagane dołączenie do oferty oświadczenia Producenta potwierdzając, że Serwis urządzeń będzie realizowany bezpośrednio przez Producenta i/lub we współpracy z Autoryzowanym Partnerem Serwisowym Producenta.</w:t>
            </w:r>
          </w:p>
          <w:p w:rsidR="008A4294" w:rsidRDefault="00D67304">
            <w:pPr>
              <w:rPr>
                <w:rFonts w:ascii="Calibri" w:hAnsi="Calibri" w:cs="Calibri"/>
                <w:sz w:val="18"/>
                <w:szCs w:val="18"/>
              </w:rPr>
            </w:pPr>
            <w:r>
              <w:rPr>
                <w:rFonts w:ascii="Calibri" w:hAnsi="Calibri" w:cs="Calibri"/>
                <w:sz w:val="18"/>
                <w:szCs w:val="18"/>
              </w:rPr>
              <w:t xml:space="preserve">Możliwość sprawdzenia statusu gwarancji poprzez stronę producenta podając unikatowy numer urządzenia, oraz pobieranie uaktualnień </w:t>
            </w:r>
            <w:proofErr w:type="spellStart"/>
            <w:r>
              <w:rPr>
                <w:rFonts w:ascii="Calibri" w:hAnsi="Calibri" w:cs="Calibri"/>
                <w:sz w:val="18"/>
                <w:szCs w:val="18"/>
              </w:rPr>
              <w:t>mikrokodu</w:t>
            </w:r>
            <w:proofErr w:type="spellEnd"/>
            <w:r>
              <w:rPr>
                <w:rFonts w:ascii="Calibri" w:hAnsi="Calibri" w:cs="Calibri"/>
                <w:sz w:val="18"/>
                <w:szCs w:val="18"/>
              </w:rPr>
              <w:t xml:space="preserve"> oraz sterowników nawet w przypadku wygaśnięcia gwarancji macierzy.</w:t>
            </w:r>
          </w:p>
          <w:p w:rsidR="008A4294" w:rsidRDefault="00D67304">
            <w:pPr>
              <w:rPr>
                <w:rFonts w:ascii="Calibri" w:hAnsi="Calibri" w:cs="Calibri"/>
                <w:sz w:val="18"/>
                <w:szCs w:val="18"/>
              </w:rPr>
            </w:pPr>
            <w:r>
              <w:rPr>
                <w:rFonts w:ascii="Calibri" w:hAnsi="Calibri" w:cs="Calibri"/>
                <w:sz w:val="18"/>
                <w:szCs w:val="18"/>
              </w:rPr>
              <w:t>Wszystkie naprawy gwarancyjne powinny być możliwe na miejscu.</w:t>
            </w:r>
          </w:p>
          <w:p w:rsidR="008A4294" w:rsidRDefault="00D67304">
            <w:pPr>
              <w:rPr>
                <w:rFonts w:ascii="Calibri" w:hAnsi="Calibri" w:cs="Calibri"/>
                <w:sz w:val="18"/>
                <w:szCs w:val="18"/>
              </w:rPr>
            </w:pPr>
            <w:r>
              <w:rPr>
                <w:rFonts w:ascii="Calibri" w:hAnsi="Calibri" w:cs="Calibri"/>
                <w:sz w:val="18"/>
                <w:szCs w:val="18"/>
              </w:rPr>
              <w:t>Dostawca ponosi koszty napraw gwarancyjnych, włączając w to koszt części I transportu.</w:t>
            </w:r>
          </w:p>
          <w:p w:rsidR="008A4294" w:rsidRDefault="00D67304">
            <w:pPr>
              <w:rPr>
                <w:rFonts w:ascii="Calibri" w:hAnsi="Calibri" w:cs="Calibri"/>
                <w:sz w:val="18"/>
                <w:szCs w:val="18"/>
              </w:rPr>
            </w:pPr>
            <w:r>
              <w:rPr>
                <w:rFonts w:ascii="Calibri" w:hAnsi="Calibri" w:cs="Calibri"/>
                <w:sz w:val="18"/>
                <w:szCs w:val="18"/>
              </w:rPr>
              <w:t xml:space="preserve">W czasie obowiązywania gwarancji dostawca zobowiązany jest do udostępnienia Zamawiającemu nowych wersji BIOS, </w:t>
            </w:r>
            <w:proofErr w:type="spellStart"/>
            <w:r>
              <w:rPr>
                <w:rFonts w:ascii="Calibri" w:hAnsi="Calibri" w:cs="Calibri"/>
                <w:sz w:val="18"/>
                <w:szCs w:val="18"/>
              </w:rPr>
              <w:t>firmware</w:t>
            </w:r>
            <w:proofErr w:type="spellEnd"/>
            <w:r>
              <w:rPr>
                <w:rFonts w:ascii="Calibri" w:hAnsi="Calibri" w:cs="Calibri"/>
                <w:sz w:val="18"/>
                <w:szCs w:val="18"/>
              </w:rPr>
              <w:t xml:space="preserve"> i sterowników (na płytach CD lub stronach internetowych).</w:t>
            </w:r>
          </w:p>
        </w:tc>
      </w:tr>
      <w:tr w:rsidR="008A4294">
        <w:trPr>
          <w:trHeight w:val="137"/>
        </w:trPr>
        <w:tc>
          <w:tcPr>
            <w:tcW w:w="567" w:type="dxa"/>
            <w:tcBorders>
              <w:top w:val="single" w:sz="4" w:space="0" w:color="000000"/>
              <w:left w:val="single" w:sz="4" w:space="0" w:color="000000"/>
              <w:bottom w:val="single" w:sz="4" w:space="0" w:color="000000"/>
            </w:tcBorders>
            <w:shd w:val="clear" w:color="auto" w:fill="auto"/>
          </w:tcPr>
          <w:p w:rsidR="008A4294" w:rsidRDefault="008A4294">
            <w:pPr>
              <w:numPr>
                <w:ilvl w:val="0"/>
                <w:numId w:val="17"/>
              </w:numPr>
              <w:suppressAutoHyphens/>
              <w:snapToGrid w:val="0"/>
              <w:spacing w:after="200" w:line="252" w:lineRule="auto"/>
              <w:rPr>
                <w:rFonts w:ascii="Calibri" w:hAnsi="Calibri" w:cs="Calibri"/>
                <w:sz w:val="18"/>
                <w:szCs w:val="18"/>
              </w:rPr>
            </w:pPr>
          </w:p>
        </w:tc>
        <w:tc>
          <w:tcPr>
            <w:tcW w:w="2051" w:type="dxa"/>
            <w:tcBorders>
              <w:top w:val="single" w:sz="4" w:space="0" w:color="000000"/>
              <w:left w:val="single" w:sz="4" w:space="0" w:color="000000"/>
              <w:bottom w:val="single" w:sz="4" w:space="0" w:color="000000"/>
            </w:tcBorders>
            <w:shd w:val="clear" w:color="auto" w:fill="auto"/>
          </w:tcPr>
          <w:p w:rsidR="008A4294" w:rsidRDefault="00D67304">
            <w:pPr>
              <w:rPr>
                <w:rFonts w:ascii="Calibri" w:hAnsi="Calibri" w:cs="Calibri"/>
                <w:sz w:val="18"/>
                <w:szCs w:val="18"/>
                <w:shd w:val="clear" w:color="auto" w:fill="FFFFFF"/>
              </w:rPr>
            </w:pPr>
            <w:r>
              <w:rPr>
                <w:rFonts w:ascii="Calibri" w:hAnsi="Calibri" w:cs="Calibri"/>
                <w:sz w:val="18"/>
                <w:szCs w:val="18"/>
                <w:shd w:val="clear" w:color="auto" w:fill="FFFFFF"/>
              </w:rPr>
              <w:t>Certyfikaty</w:t>
            </w:r>
          </w:p>
        </w:tc>
        <w:tc>
          <w:tcPr>
            <w:tcW w:w="7163" w:type="dxa"/>
            <w:tcBorders>
              <w:top w:val="single" w:sz="6" w:space="0" w:color="000000"/>
              <w:left w:val="single" w:sz="4" w:space="0" w:color="000000"/>
              <w:bottom w:val="single" w:sz="6" w:space="0" w:color="000000"/>
              <w:right w:val="single" w:sz="4" w:space="0" w:color="000000"/>
            </w:tcBorders>
            <w:shd w:val="clear" w:color="auto" w:fill="auto"/>
            <w:vAlign w:val="center"/>
          </w:tcPr>
          <w:p w:rsidR="008A4294" w:rsidRDefault="00D67304">
            <w:pPr>
              <w:rPr>
                <w:rFonts w:ascii="Calibri" w:hAnsi="Calibri" w:cs="Calibri"/>
                <w:sz w:val="18"/>
                <w:szCs w:val="18"/>
                <w:shd w:val="clear" w:color="auto" w:fill="FFFFFF"/>
              </w:rPr>
            </w:pPr>
            <w:r>
              <w:rPr>
                <w:rFonts w:ascii="Calibri" w:hAnsi="Calibri" w:cs="Calibri"/>
                <w:sz w:val="18"/>
                <w:szCs w:val="18"/>
                <w:shd w:val="clear" w:color="auto" w:fill="FFFFFF"/>
              </w:rPr>
              <w:t>Macierz musi być wyprodukowana zgodnie z normą ISO 9001:2008.</w:t>
            </w:r>
          </w:p>
        </w:tc>
      </w:tr>
    </w:tbl>
    <w:p w:rsidR="008A4294" w:rsidRDefault="008A4294">
      <w:pPr>
        <w:spacing w:after="0" w:line="360" w:lineRule="auto"/>
        <w:ind w:left="-11"/>
        <w:jc w:val="both"/>
        <w:rPr>
          <w:rFonts w:cstheme="minorHAnsi"/>
          <w:b/>
          <w:sz w:val="24"/>
          <w:szCs w:val="20"/>
        </w:rPr>
      </w:pPr>
    </w:p>
    <w:p w:rsidR="0058316D" w:rsidRDefault="0058316D">
      <w:pPr>
        <w:spacing w:after="0" w:line="360" w:lineRule="auto"/>
        <w:ind w:left="-11"/>
        <w:jc w:val="both"/>
        <w:rPr>
          <w:rFonts w:cstheme="minorHAnsi"/>
          <w:b/>
          <w:sz w:val="24"/>
          <w:szCs w:val="20"/>
        </w:rPr>
      </w:pPr>
    </w:p>
    <w:p w:rsidR="0058316D" w:rsidRDefault="0058316D">
      <w:pPr>
        <w:spacing w:after="0" w:line="360" w:lineRule="auto"/>
        <w:ind w:left="-11"/>
        <w:jc w:val="both"/>
        <w:rPr>
          <w:rFonts w:cstheme="minorHAnsi"/>
          <w:b/>
          <w:sz w:val="24"/>
          <w:szCs w:val="20"/>
        </w:rPr>
      </w:pPr>
    </w:p>
    <w:p w:rsidR="0058316D" w:rsidRDefault="0058316D">
      <w:pPr>
        <w:spacing w:after="0" w:line="360" w:lineRule="auto"/>
        <w:ind w:left="-11"/>
        <w:jc w:val="both"/>
        <w:rPr>
          <w:rFonts w:cstheme="minorHAnsi"/>
          <w:b/>
          <w:sz w:val="24"/>
          <w:szCs w:val="20"/>
        </w:rPr>
      </w:pPr>
    </w:p>
    <w:p w:rsidR="0058316D" w:rsidRDefault="0058316D">
      <w:pPr>
        <w:spacing w:after="0" w:line="360" w:lineRule="auto"/>
        <w:ind w:left="-11"/>
        <w:jc w:val="both"/>
        <w:rPr>
          <w:rFonts w:cstheme="minorHAnsi"/>
          <w:b/>
          <w:sz w:val="24"/>
          <w:szCs w:val="20"/>
        </w:rPr>
      </w:pPr>
    </w:p>
    <w:p w:rsidR="008A4294" w:rsidRPr="00C253DF" w:rsidRDefault="00C253DF" w:rsidP="00C253DF">
      <w:pPr>
        <w:spacing w:after="0" w:line="360" w:lineRule="auto"/>
        <w:ind w:left="142"/>
        <w:jc w:val="both"/>
        <w:rPr>
          <w:rFonts w:cstheme="minorHAnsi"/>
          <w:b/>
          <w:sz w:val="24"/>
          <w:szCs w:val="20"/>
        </w:rPr>
      </w:pPr>
      <w:r>
        <w:rPr>
          <w:rFonts w:cstheme="minorHAnsi"/>
          <w:b/>
          <w:sz w:val="24"/>
          <w:szCs w:val="20"/>
        </w:rPr>
        <w:lastRenderedPageBreak/>
        <w:t>Część IV - B</w:t>
      </w:r>
      <w:r w:rsidR="00D67304" w:rsidRPr="00C253DF">
        <w:rPr>
          <w:rFonts w:cstheme="minorHAnsi"/>
          <w:b/>
          <w:sz w:val="24"/>
        </w:rPr>
        <w:t>ibliotek</w:t>
      </w:r>
      <w:r>
        <w:rPr>
          <w:rFonts w:cstheme="minorHAnsi"/>
          <w:b/>
          <w:sz w:val="24"/>
        </w:rPr>
        <w:t>a</w:t>
      </w:r>
      <w:r w:rsidR="00D67304" w:rsidRPr="00C253DF">
        <w:rPr>
          <w:rFonts w:cstheme="minorHAnsi"/>
          <w:b/>
          <w:sz w:val="24"/>
        </w:rPr>
        <w:t xml:space="preserve"> taśmow</w:t>
      </w:r>
      <w:r>
        <w:rPr>
          <w:rFonts w:cstheme="minorHAnsi"/>
          <w:b/>
          <w:sz w:val="24"/>
        </w:rPr>
        <w:t>a</w:t>
      </w:r>
      <w:r w:rsidR="00D67304" w:rsidRPr="00C253DF">
        <w:rPr>
          <w:rFonts w:cstheme="minorHAnsi"/>
          <w:b/>
          <w:sz w:val="24"/>
        </w:rPr>
        <w:t xml:space="preserve"> do montażu w szafie </w:t>
      </w:r>
      <w:proofErr w:type="spellStart"/>
      <w:r w:rsidR="00D67304" w:rsidRPr="00C253DF">
        <w:rPr>
          <w:rFonts w:cstheme="minorHAnsi"/>
          <w:b/>
          <w:sz w:val="24"/>
        </w:rPr>
        <w:t>rack</w:t>
      </w:r>
      <w:proofErr w:type="spellEnd"/>
      <w:r w:rsidR="00D67304" w:rsidRPr="00C253DF">
        <w:rPr>
          <w:rFonts w:cstheme="minorHAnsi"/>
          <w:b/>
          <w:sz w:val="24"/>
        </w:rPr>
        <w:t>:</w:t>
      </w:r>
    </w:p>
    <w:tbl>
      <w:tblPr>
        <w:tblStyle w:val="TableGrid"/>
        <w:tblW w:w="9781" w:type="dxa"/>
        <w:tblInd w:w="137" w:type="dxa"/>
        <w:tblCellMar>
          <w:top w:w="35" w:type="dxa"/>
          <w:left w:w="108" w:type="dxa"/>
          <w:right w:w="91" w:type="dxa"/>
        </w:tblCellMar>
        <w:tblLook w:val="04A0" w:firstRow="1" w:lastRow="0" w:firstColumn="1" w:lastColumn="0" w:noHBand="0" w:noVBand="1"/>
      </w:tblPr>
      <w:tblGrid>
        <w:gridCol w:w="851"/>
        <w:gridCol w:w="1869"/>
        <w:gridCol w:w="7061"/>
      </w:tblGrid>
      <w:tr w:rsidR="008A4294">
        <w:trPr>
          <w:trHeight w:val="206"/>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8A4294" w:rsidRDefault="00D67304">
            <w:pPr>
              <w:spacing w:after="160" w:line="259" w:lineRule="auto"/>
              <w:jc w:val="center"/>
              <w:rPr>
                <w:rFonts w:ascii="Calibri" w:hAnsi="Calibri" w:cs="Calibri"/>
                <w:b/>
                <w:bCs/>
                <w:sz w:val="18"/>
                <w:szCs w:val="18"/>
              </w:rPr>
            </w:pPr>
            <w:r>
              <w:rPr>
                <w:rFonts w:ascii="Calibri" w:hAnsi="Calibri" w:cs="Calibri"/>
                <w:b/>
                <w:bCs/>
                <w:sz w:val="18"/>
                <w:szCs w:val="18"/>
              </w:rPr>
              <w:t>Lp.</w:t>
            </w:r>
          </w:p>
        </w:tc>
        <w:tc>
          <w:tcPr>
            <w:tcW w:w="18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8A4294" w:rsidRDefault="00D67304">
            <w:pPr>
              <w:spacing w:after="160" w:line="259" w:lineRule="auto"/>
              <w:jc w:val="center"/>
              <w:rPr>
                <w:rFonts w:ascii="Calibri" w:hAnsi="Calibri" w:cs="Calibri"/>
                <w:b/>
                <w:bCs/>
                <w:sz w:val="18"/>
                <w:szCs w:val="18"/>
              </w:rPr>
            </w:pPr>
            <w:r>
              <w:rPr>
                <w:rFonts w:ascii="Calibri" w:hAnsi="Calibri" w:cs="Calibri"/>
                <w:b/>
                <w:bCs/>
                <w:sz w:val="18"/>
                <w:szCs w:val="18"/>
              </w:rPr>
              <w:t>Nazwa komponentu</w:t>
            </w:r>
          </w:p>
        </w:tc>
        <w:tc>
          <w:tcPr>
            <w:tcW w:w="70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8A4294" w:rsidRDefault="00D67304">
            <w:pPr>
              <w:spacing w:after="160" w:line="259" w:lineRule="auto"/>
              <w:ind w:left="-71"/>
              <w:jc w:val="center"/>
              <w:rPr>
                <w:rFonts w:ascii="Calibri" w:hAnsi="Calibri" w:cs="Calibri"/>
                <w:b/>
                <w:bCs/>
                <w:sz w:val="18"/>
                <w:szCs w:val="18"/>
              </w:rPr>
            </w:pPr>
            <w:r>
              <w:rPr>
                <w:rFonts w:ascii="Calibri" w:hAnsi="Calibri" w:cs="Calibri"/>
                <w:b/>
                <w:bCs/>
                <w:sz w:val="18"/>
                <w:szCs w:val="18"/>
              </w:rPr>
              <w:t>Wymagane minimalne parametry techniczne</w:t>
            </w:r>
          </w:p>
        </w:tc>
      </w:tr>
      <w:tr w:rsidR="008A4294">
        <w:trPr>
          <w:trHeight w:val="206"/>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8A4294" w:rsidRDefault="00D67304">
            <w:pPr>
              <w:spacing w:after="160" w:line="259" w:lineRule="auto"/>
              <w:jc w:val="center"/>
              <w:rPr>
                <w:rFonts w:ascii="Calibri" w:hAnsi="Calibri" w:cs="Calibri"/>
                <w:b/>
                <w:bCs/>
                <w:sz w:val="18"/>
                <w:szCs w:val="18"/>
              </w:rPr>
            </w:pPr>
            <w:r>
              <w:rPr>
                <w:rFonts w:ascii="Calibri" w:hAnsi="Calibri" w:cs="Calibri"/>
                <w:b/>
                <w:bCs/>
                <w:sz w:val="18"/>
                <w:szCs w:val="18"/>
              </w:rPr>
              <w:t>1</w:t>
            </w:r>
          </w:p>
        </w:tc>
        <w:tc>
          <w:tcPr>
            <w:tcW w:w="18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8A4294" w:rsidRDefault="00D67304">
            <w:pPr>
              <w:spacing w:after="160" w:line="259" w:lineRule="auto"/>
              <w:jc w:val="center"/>
              <w:rPr>
                <w:rFonts w:ascii="Calibri" w:hAnsi="Calibri" w:cs="Calibri"/>
                <w:b/>
                <w:bCs/>
                <w:sz w:val="18"/>
                <w:szCs w:val="18"/>
              </w:rPr>
            </w:pPr>
            <w:r>
              <w:rPr>
                <w:rFonts w:ascii="Calibri" w:hAnsi="Calibri" w:cs="Calibri"/>
                <w:b/>
                <w:bCs/>
                <w:sz w:val="18"/>
                <w:szCs w:val="18"/>
              </w:rPr>
              <w:t>2</w:t>
            </w:r>
          </w:p>
        </w:tc>
        <w:tc>
          <w:tcPr>
            <w:tcW w:w="70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8A4294" w:rsidRDefault="00D67304">
            <w:pPr>
              <w:spacing w:after="160" w:line="259" w:lineRule="auto"/>
              <w:ind w:left="-71"/>
              <w:jc w:val="center"/>
              <w:rPr>
                <w:rFonts w:ascii="Calibri" w:hAnsi="Calibri" w:cs="Calibri"/>
                <w:b/>
                <w:bCs/>
                <w:sz w:val="18"/>
                <w:szCs w:val="18"/>
              </w:rPr>
            </w:pPr>
            <w:r>
              <w:rPr>
                <w:rFonts w:ascii="Calibri" w:hAnsi="Calibri" w:cs="Calibri"/>
                <w:b/>
                <w:bCs/>
                <w:sz w:val="18"/>
                <w:szCs w:val="18"/>
              </w:rPr>
              <w:t>3</w:t>
            </w:r>
          </w:p>
        </w:tc>
      </w:tr>
      <w:tr w:rsidR="008A4294">
        <w:trPr>
          <w:trHeight w:val="790"/>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 xml:space="preserve">Obudowa </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spacing w:after="2" w:line="238" w:lineRule="auto"/>
              <w:ind w:right="89"/>
              <w:rPr>
                <w:rFonts w:cstheme="minorHAnsi"/>
                <w:sz w:val="18"/>
                <w:szCs w:val="18"/>
              </w:rPr>
            </w:pPr>
            <w:r>
              <w:rPr>
                <w:rFonts w:cstheme="minorHAnsi"/>
                <w:sz w:val="18"/>
                <w:szCs w:val="18"/>
              </w:rPr>
              <w:t xml:space="preserve">Oferowana biblioteka taśmowa musi być przystosowana do montażu </w:t>
            </w:r>
            <w:r>
              <w:rPr>
                <w:rFonts w:cstheme="minorHAnsi"/>
                <w:sz w:val="18"/>
                <w:szCs w:val="18"/>
              </w:rPr>
              <w:br/>
              <w:t>w standardowej szafie typu rack 19”.  Wysokość biblioteki maksymalnie 4U.</w:t>
            </w:r>
          </w:p>
          <w:p w:rsidR="008A4294" w:rsidRDefault="00D67304">
            <w:pPr>
              <w:spacing w:line="259" w:lineRule="auto"/>
              <w:ind w:right="89"/>
              <w:rPr>
                <w:rFonts w:cstheme="minorHAnsi"/>
                <w:sz w:val="18"/>
                <w:szCs w:val="18"/>
              </w:rPr>
            </w:pPr>
            <w:r>
              <w:rPr>
                <w:rFonts w:cstheme="minorHAnsi"/>
                <w:sz w:val="18"/>
                <w:szCs w:val="18"/>
              </w:rPr>
              <w:t>Urządzenie należy dostarczyć wraz z niezbędnymi elementami do zamontowania w szafie typu rack 19”.</w:t>
            </w:r>
          </w:p>
        </w:tc>
      </w:tr>
      <w:tr w:rsidR="008A4294">
        <w:trPr>
          <w:trHeight w:val="206"/>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 xml:space="preserve">Wykorzystywana technologia </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spacing w:line="259" w:lineRule="auto"/>
              <w:ind w:right="89"/>
              <w:rPr>
                <w:rFonts w:cstheme="minorHAnsi"/>
                <w:sz w:val="18"/>
                <w:szCs w:val="18"/>
              </w:rPr>
            </w:pPr>
            <w:proofErr w:type="spellStart"/>
            <w:r>
              <w:rPr>
                <w:rFonts w:cstheme="minorHAnsi"/>
                <w:sz w:val="18"/>
                <w:szCs w:val="18"/>
              </w:rPr>
              <w:t>Linear</w:t>
            </w:r>
            <w:proofErr w:type="spellEnd"/>
            <w:r>
              <w:rPr>
                <w:rFonts w:cstheme="minorHAnsi"/>
                <w:sz w:val="18"/>
                <w:szCs w:val="18"/>
              </w:rPr>
              <w:t xml:space="preserve"> </w:t>
            </w:r>
            <w:proofErr w:type="spellStart"/>
            <w:r>
              <w:rPr>
                <w:rFonts w:cstheme="minorHAnsi"/>
                <w:sz w:val="18"/>
                <w:szCs w:val="18"/>
              </w:rPr>
              <w:t>Tape</w:t>
            </w:r>
            <w:proofErr w:type="spellEnd"/>
            <w:r>
              <w:rPr>
                <w:rFonts w:cstheme="minorHAnsi"/>
                <w:sz w:val="18"/>
                <w:szCs w:val="18"/>
              </w:rPr>
              <w:t xml:space="preserve"> Open 7 wspierające technologię partycjonowania nośników oraz WORM.</w:t>
            </w:r>
          </w:p>
          <w:p w:rsidR="008A4294" w:rsidRDefault="00D67304">
            <w:pPr>
              <w:spacing w:line="259" w:lineRule="auto"/>
              <w:ind w:right="89"/>
              <w:rPr>
                <w:rFonts w:cstheme="minorHAnsi"/>
                <w:b/>
                <w:sz w:val="18"/>
                <w:szCs w:val="18"/>
              </w:rPr>
            </w:pPr>
            <w:r>
              <w:rPr>
                <w:rFonts w:cstheme="minorHAnsi"/>
                <w:sz w:val="18"/>
                <w:szCs w:val="18"/>
              </w:rPr>
              <w:t xml:space="preserve">Urządzenie musi mieć możliwość instalowania w tej samej obudowie i w tym samym czasie także napędów wspierających technologię </w:t>
            </w:r>
            <w:proofErr w:type="spellStart"/>
            <w:r>
              <w:rPr>
                <w:rFonts w:cstheme="minorHAnsi"/>
                <w:sz w:val="18"/>
                <w:szCs w:val="18"/>
              </w:rPr>
              <w:t>Linear</w:t>
            </w:r>
            <w:proofErr w:type="spellEnd"/>
            <w:r>
              <w:rPr>
                <w:rFonts w:cstheme="minorHAnsi"/>
                <w:sz w:val="18"/>
                <w:szCs w:val="18"/>
              </w:rPr>
              <w:t xml:space="preserve"> </w:t>
            </w:r>
            <w:proofErr w:type="spellStart"/>
            <w:r>
              <w:rPr>
                <w:rFonts w:cstheme="minorHAnsi"/>
                <w:sz w:val="18"/>
                <w:szCs w:val="18"/>
              </w:rPr>
              <w:t>Tape</w:t>
            </w:r>
            <w:proofErr w:type="spellEnd"/>
            <w:r>
              <w:rPr>
                <w:rFonts w:cstheme="minorHAnsi"/>
                <w:sz w:val="18"/>
                <w:szCs w:val="18"/>
              </w:rPr>
              <w:t xml:space="preserve"> Open 6 i 8 generacji.</w:t>
            </w:r>
          </w:p>
        </w:tc>
      </w:tr>
      <w:tr w:rsidR="008A4294">
        <w:trPr>
          <w:trHeight w:val="204"/>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 xml:space="preserve">Wbudowane napędy </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spacing w:line="259" w:lineRule="auto"/>
              <w:ind w:right="89"/>
              <w:rPr>
                <w:rFonts w:cstheme="minorHAnsi"/>
                <w:sz w:val="18"/>
                <w:szCs w:val="18"/>
              </w:rPr>
            </w:pPr>
            <w:r>
              <w:rPr>
                <w:rFonts w:cstheme="minorHAnsi"/>
                <w:sz w:val="18"/>
                <w:szCs w:val="18"/>
              </w:rPr>
              <w:t xml:space="preserve">Jeden napęd </w:t>
            </w:r>
            <w:proofErr w:type="spellStart"/>
            <w:r>
              <w:rPr>
                <w:rFonts w:cstheme="minorHAnsi"/>
                <w:sz w:val="18"/>
                <w:szCs w:val="18"/>
              </w:rPr>
              <w:t>Linear</w:t>
            </w:r>
            <w:proofErr w:type="spellEnd"/>
            <w:r>
              <w:rPr>
                <w:rFonts w:cstheme="minorHAnsi"/>
                <w:sz w:val="18"/>
                <w:szCs w:val="18"/>
              </w:rPr>
              <w:t xml:space="preserve"> </w:t>
            </w:r>
            <w:proofErr w:type="spellStart"/>
            <w:r>
              <w:rPr>
                <w:rFonts w:cstheme="minorHAnsi"/>
                <w:sz w:val="18"/>
                <w:szCs w:val="18"/>
              </w:rPr>
              <w:t>Tape</w:t>
            </w:r>
            <w:proofErr w:type="spellEnd"/>
            <w:r>
              <w:rPr>
                <w:rFonts w:cstheme="minorHAnsi"/>
                <w:sz w:val="18"/>
                <w:szCs w:val="18"/>
              </w:rPr>
              <w:t xml:space="preserve"> Open 7 generacji wyposażony w złącze SAS 6Gb</w:t>
            </w:r>
          </w:p>
          <w:p w:rsidR="008A4294" w:rsidRDefault="00D67304">
            <w:pPr>
              <w:spacing w:line="259" w:lineRule="auto"/>
              <w:ind w:right="89"/>
              <w:rPr>
                <w:rFonts w:cstheme="minorHAnsi"/>
                <w:sz w:val="18"/>
                <w:szCs w:val="18"/>
              </w:rPr>
            </w:pPr>
            <w:r>
              <w:rPr>
                <w:rFonts w:cstheme="minorHAnsi"/>
                <w:sz w:val="18"/>
                <w:szCs w:val="18"/>
              </w:rPr>
              <w:t>Napęd musi wspierać technologię LTFS (</w:t>
            </w:r>
            <w:proofErr w:type="spellStart"/>
            <w:r>
              <w:rPr>
                <w:rFonts w:cstheme="minorHAnsi"/>
                <w:sz w:val="18"/>
                <w:szCs w:val="18"/>
              </w:rPr>
              <w:t>Long</w:t>
            </w:r>
            <w:proofErr w:type="spellEnd"/>
            <w:r>
              <w:rPr>
                <w:rFonts w:cstheme="minorHAnsi"/>
                <w:sz w:val="18"/>
                <w:szCs w:val="18"/>
              </w:rPr>
              <w:t xml:space="preserve"> Term File System) umożliwiającą kopiowanie danych na taśmę bez konieczności użycia oprogramowania do backupu (W przypadku gdy wykorzystanie technologii LTFS wymaga dodatkowych licencji musi ona zostać dostarczona razem z urządzeniem) </w:t>
            </w:r>
          </w:p>
          <w:p w:rsidR="008A4294" w:rsidRDefault="00D67304">
            <w:pPr>
              <w:spacing w:line="259" w:lineRule="auto"/>
              <w:ind w:right="89"/>
              <w:rPr>
                <w:rFonts w:cstheme="minorHAnsi"/>
                <w:sz w:val="18"/>
                <w:szCs w:val="18"/>
              </w:rPr>
            </w:pPr>
            <w:r>
              <w:rPr>
                <w:rFonts w:cstheme="minorHAnsi"/>
                <w:sz w:val="18"/>
                <w:szCs w:val="18"/>
              </w:rPr>
              <w:t>Zamontowany napęd musi umożliwiać rozbudowę biblioteki o dodatkowe napędy bez konieczności jego demontażu z urządzenia.</w:t>
            </w:r>
          </w:p>
          <w:p w:rsidR="008A4294" w:rsidRDefault="00D67304">
            <w:pPr>
              <w:spacing w:line="259" w:lineRule="auto"/>
              <w:ind w:right="89"/>
              <w:rPr>
                <w:rFonts w:cstheme="minorHAnsi"/>
                <w:sz w:val="18"/>
                <w:szCs w:val="18"/>
              </w:rPr>
            </w:pPr>
            <w:r>
              <w:rPr>
                <w:rFonts w:cstheme="minorHAnsi"/>
                <w:sz w:val="18"/>
                <w:szCs w:val="18"/>
              </w:rPr>
              <w:t>Jeżeli licencjonowana jest liczba napędów - wymagane jest aktywowanie wszystkich dostępnych w urządzeniu</w:t>
            </w:r>
          </w:p>
        </w:tc>
      </w:tr>
      <w:tr w:rsidR="008A4294">
        <w:trPr>
          <w:trHeight w:val="206"/>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 xml:space="preserve">Interfejs napędu </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spacing w:line="259" w:lineRule="auto"/>
              <w:ind w:right="89"/>
              <w:rPr>
                <w:rFonts w:cstheme="minorHAnsi"/>
                <w:sz w:val="18"/>
                <w:szCs w:val="18"/>
              </w:rPr>
            </w:pPr>
            <w:r>
              <w:rPr>
                <w:rFonts w:cstheme="minorHAnsi"/>
                <w:sz w:val="18"/>
                <w:szCs w:val="18"/>
              </w:rPr>
              <w:t xml:space="preserve">SAS 6Gb </w:t>
            </w:r>
          </w:p>
        </w:tc>
      </w:tr>
      <w:tr w:rsidR="008A4294">
        <w:trPr>
          <w:trHeight w:val="206"/>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 xml:space="preserve">Interfejs biblioteki </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spacing w:line="259" w:lineRule="auto"/>
              <w:ind w:right="89"/>
              <w:rPr>
                <w:rFonts w:cstheme="minorHAnsi"/>
                <w:sz w:val="18"/>
                <w:szCs w:val="18"/>
              </w:rPr>
            </w:pPr>
            <w:r>
              <w:rPr>
                <w:rFonts w:cstheme="minorHAnsi"/>
                <w:sz w:val="18"/>
                <w:szCs w:val="18"/>
              </w:rPr>
              <w:t xml:space="preserve">SAS 6Gb </w:t>
            </w:r>
          </w:p>
        </w:tc>
      </w:tr>
      <w:tr w:rsidR="008A4294">
        <w:trPr>
          <w:trHeight w:val="595"/>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Liczba slotów (miejsc na taśmy w magazynku)</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pStyle w:val="Akapitzlist"/>
              <w:numPr>
                <w:ilvl w:val="0"/>
                <w:numId w:val="20"/>
              </w:numPr>
              <w:spacing w:line="259" w:lineRule="auto"/>
              <w:ind w:left="420" w:right="89"/>
              <w:jc w:val="both"/>
              <w:rPr>
                <w:rFonts w:cstheme="minorHAnsi"/>
                <w:sz w:val="18"/>
                <w:szCs w:val="18"/>
              </w:rPr>
            </w:pPr>
            <w:r>
              <w:rPr>
                <w:rFonts w:cstheme="minorHAnsi"/>
                <w:sz w:val="18"/>
                <w:szCs w:val="18"/>
              </w:rPr>
              <w:t xml:space="preserve">Minimum 32 szt. (urządzenie musi być dostarczone </w:t>
            </w:r>
            <w:r>
              <w:rPr>
                <w:rFonts w:cstheme="minorHAnsi"/>
                <w:sz w:val="18"/>
                <w:szCs w:val="18"/>
              </w:rPr>
              <w:br/>
              <w:t xml:space="preserve">z kompletem magazynków). Jeżeli licencjonowana jest liczba slotów - wymagane jest aktywowanie wszystkich dostępnych w urządzeniu slotów </w:t>
            </w:r>
            <w:r>
              <w:rPr>
                <w:rFonts w:cstheme="minorHAnsi"/>
                <w:sz w:val="18"/>
                <w:szCs w:val="18"/>
              </w:rPr>
              <w:br/>
              <w:t xml:space="preserve">i magazynków, </w:t>
            </w:r>
          </w:p>
          <w:p w:rsidR="008A4294" w:rsidRDefault="00D67304">
            <w:pPr>
              <w:pStyle w:val="Akapitzlist"/>
              <w:numPr>
                <w:ilvl w:val="0"/>
                <w:numId w:val="20"/>
              </w:numPr>
              <w:spacing w:line="259" w:lineRule="auto"/>
              <w:ind w:left="420" w:right="89"/>
              <w:jc w:val="both"/>
              <w:rPr>
                <w:rFonts w:cstheme="minorHAnsi"/>
                <w:sz w:val="18"/>
                <w:szCs w:val="18"/>
              </w:rPr>
            </w:pPr>
            <w:r>
              <w:rPr>
                <w:rFonts w:cstheme="minorHAnsi"/>
                <w:sz w:val="18"/>
                <w:szCs w:val="18"/>
              </w:rPr>
              <w:t xml:space="preserve">Możliwość zdefiniowania 1 slotu Import Export (Mail slot) – Czytnik kodów kreskowych </w:t>
            </w:r>
          </w:p>
        </w:tc>
      </w:tr>
      <w:tr w:rsidR="008A4294">
        <w:trPr>
          <w:trHeight w:val="595"/>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 xml:space="preserve">Możliwości rozbudowy </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pStyle w:val="Akapitzlist"/>
              <w:numPr>
                <w:ilvl w:val="0"/>
                <w:numId w:val="19"/>
              </w:numPr>
              <w:spacing w:line="259" w:lineRule="auto"/>
              <w:ind w:left="420" w:right="89"/>
              <w:jc w:val="both"/>
              <w:rPr>
                <w:rFonts w:cstheme="minorHAnsi"/>
                <w:sz w:val="18"/>
                <w:szCs w:val="18"/>
              </w:rPr>
            </w:pPr>
            <w:r>
              <w:rPr>
                <w:rFonts w:cstheme="minorHAnsi"/>
                <w:sz w:val="18"/>
                <w:szCs w:val="18"/>
              </w:rPr>
              <w:t>Możliwość rozbudowy do min. 2 napędów LTO w celu zwiększenia transferu danych w ramach tej samej obudowy</w:t>
            </w:r>
          </w:p>
          <w:p w:rsidR="008A4294" w:rsidRDefault="00D67304">
            <w:pPr>
              <w:pStyle w:val="Akapitzlist"/>
              <w:numPr>
                <w:ilvl w:val="0"/>
                <w:numId w:val="19"/>
              </w:numPr>
              <w:spacing w:line="259" w:lineRule="auto"/>
              <w:ind w:left="420" w:right="89"/>
              <w:jc w:val="both"/>
              <w:rPr>
                <w:rFonts w:cstheme="minorHAnsi"/>
                <w:sz w:val="18"/>
                <w:szCs w:val="18"/>
              </w:rPr>
            </w:pPr>
            <w:r>
              <w:rPr>
                <w:rFonts w:cstheme="minorHAnsi"/>
                <w:sz w:val="18"/>
                <w:szCs w:val="18"/>
              </w:rPr>
              <w:t>Robot musi mieć możliwość dostępu do wszystkich oferowanych slotów biblioteki.</w:t>
            </w:r>
          </w:p>
          <w:p w:rsidR="008A4294" w:rsidRDefault="00D67304">
            <w:pPr>
              <w:pStyle w:val="Akapitzlist"/>
              <w:numPr>
                <w:ilvl w:val="0"/>
                <w:numId w:val="19"/>
              </w:numPr>
              <w:spacing w:line="259" w:lineRule="auto"/>
              <w:ind w:left="420" w:right="89"/>
              <w:jc w:val="both"/>
              <w:rPr>
                <w:rFonts w:cstheme="minorHAnsi"/>
                <w:sz w:val="18"/>
                <w:szCs w:val="18"/>
              </w:rPr>
            </w:pPr>
            <w:r>
              <w:rPr>
                <w:rFonts w:cstheme="minorHAnsi"/>
                <w:sz w:val="18"/>
                <w:szCs w:val="18"/>
              </w:rPr>
              <w:t xml:space="preserve">Możliwość rozbudowy do min. 72 slotów w celu zwiększenia pojemności Rozbudowa w ramach tej samej obudowy lub poprzez kaskadowanie obudów. </w:t>
            </w:r>
          </w:p>
          <w:p w:rsidR="008A4294" w:rsidRDefault="00D67304">
            <w:pPr>
              <w:spacing w:line="259" w:lineRule="auto"/>
              <w:ind w:left="420" w:right="89"/>
              <w:rPr>
                <w:rFonts w:cstheme="minorHAnsi"/>
                <w:sz w:val="18"/>
                <w:szCs w:val="18"/>
              </w:rPr>
            </w:pPr>
            <w:r>
              <w:rPr>
                <w:rFonts w:cstheme="minorHAnsi"/>
                <w:sz w:val="18"/>
                <w:szCs w:val="18"/>
              </w:rPr>
              <w:t>Urządzenie musi mieć możliwość łączenia ze sobą kolejnych modułów z możliwością automatycznego przekładania nośników między modułami przy czym każdy z modułów musi być wyposażony w niezależny system zasilania i zarządzania, niezależny robot do przekładania nośników oraz być zdolny do samodzielnej pracy.</w:t>
            </w:r>
          </w:p>
          <w:p w:rsidR="008A4294" w:rsidRDefault="00D67304">
            <w:pPr>
              <w:pStyle w:val="Akapitzlist"/>
              <w:numPr>
                <w:ilvl w:val="0"/>
                <w:numId w:val="19"/>
              </w:numPr>
              <w:spacing w:line="259" w:lineRule="auto"/>
              <w:ind w:left="420" w:right="89"/>
              <w:jc w:val="both"/>
              <w:rPr>
                <w:rFonts w:cstheme="minorHAnsi"/>
                <w:sz w:val="18"/>
                <w:szCs w:val="18"/>
              </w:rPr>
            </w:pPr>
            <w:r>
              <w:rPr>
                <w:rFonts w:cstheme="minorHAnsi"/>
                <w:sz w:val="18"/>
                <w:szCs w:val="18"/>
              </w:rPr>
              <w:t xml:space="preserve">Możliwość instalacji napędów z interfejsem SAS   </w:t>
            </w:r>
          </w:p>
        </w:tc>
      </w:tr>
      <w:tr w:rsidR="008A4294">
        <w:trPr>
          <w:trHeight w:val="401"/>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 xml:space="preserve">Zarządzanie </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pStyle w:val="Akapitzlist"/>
              <w:numPr>
                <w:ilvl w:val="0"/>
                <w:numId w:val="22"/>
              </w:numPr>
              <w:spacing w:line="259" w:lineRule="auto"/>
              <w:ind w:left="420" w:right="89"/>
              <w:jc w:val="both"/>
              <w:rPr>
                <w:rFonts w:cstheme="minorHAnsi"/>
                <w:sz w:val="18"/>
                <w:szCs w:val="18"/>
              </w:rPr>
            </w:pPr>
            <w:r>
              <w:rPr>
                <w:rFonts w:cstheme="minorHAnsi"/>
                <w:sz w:val="18"/>
                <w:szCs w:val="18"/>
              </w:rPr>
              <w:t xml:space="preserve">Zdalne zarządzanie poprzez przeglądarkę WWW (Web GUI) przez wbudowany port Fast Ethernet lub Gigabit Ethernet, </w:t>
            </w:r>
          </w:p>
          <w:p w:rsidR="008A4294" w:rsidRDefault="00D67304">
            <w:pPr>
              <w:pStyle w:val="Akapitzlist"/>
              <w:numPr>
                <w:ilvl w:val="0"/>
                <w:numId w:val="22"/>
              </w:numPr>
              <w:spacing w:line="259" w:lineRule="auto"/>
              <w:ind w:left="420" w:right="89"/>
              <w:jc w:val="both"/>
              <w:rPr>
                <w:rFonts w:cstheme="minorHAnsi"/>
                <w:sz w:val="18"/>
                <w:szCs w:val="18"/>
              </w:rPr>
            </w:pPr>
            <w:r>
              <w:rPr>
                <w:rFonts w:cstheme="minorHAnsi"/>
                <w:sz w:val="18"/>
                <w:szCs w:val="18"/>
              </w:rPr>
              <w:t xml:space="preserve">Obsługa za pomocą panelu kontrolnego umieszczonego na froncie urządzenia </w:t>
            </w:r>
          </w:p>
        </w:tc>
      </w:tr>
      <w:tr w:rsidR="008A4294">
        <w:trPr>
          <w:trHeight w:val="1769"/>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 xml:space="preserve">Oprogramowanie </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spacing w:line="259" w:lineRule="auto"/>
              <w:ind w:right="89"/>
              <w:rPr>
                <w:rFonts w:cstheme="minorHAnsi"/>
                <w:sz w:val="18"/>
                <w:szCs w:val="18"/>
              </w:rPr>
            </w:pPr>
            <w:r>
              <w:rPr>
                <w:rFonts w:cstheme="minorHAnsi"/>
                <w:sz w:val="18"/>
                <w:szCs w:val="18"/>
              </w:rPr>
              <w:t xml:space="preserve">Wraz z biblioteką należy dostarczyć serwerowe oprogramowanie kompatybilne z systemami Windows 2012R2/2016/2019/2022 umożliwiające:  </w:t>
            </w:r>
          </w:p>
          <w:p w:rsidR="008A4294" w:rsidRDefault="00D67304">
            <w:pPr>
              <w:pStyle w:val="Akapitzlist"/>
              <w:numPr>
                <w:ilvl w:val="0"/>
                <w:numId w:val="23"/>
              </w:numPr>
              <w:spacing w:line="259" w:lineRule="auto"/>
              <w:ind w:left="420" w:right="89"/>
              <w:jc w:val="both"/>
              <w:rPr>
                <w:rFonts w:cstheme="minorHAnsi"/>
                <w:sz w:val="18"/>
                <w:szCs w:val="18"/>
              </w:rPr>
            </w:pPr>
            <w:r>
              <w:rPr>
                <w:rFonts w:cstheme="minorHAnsi"/>
                <w:sz w:val="18"/>
                <w:szCs w:val="18"/>
              </w:rPr>
              <w:t xml:space="preserve">Proaktywne zdalne i lokalne monitorowanie stanu biblioteki </w:t>
            </w:r>
            <w:r>
              <w:rPr>
                <w:rFonts w:cstheme="minorHAnsi"/>
                <w:sz w:val="18"/>
                <w:szCs w:val="18"/>
              </w:rPr>
              <w:br/>
              <w:t xml:space="preserve">i napędów, </w:t>
            </w:r>
          </w:p>
          <w:p w:rsidR="008A4294" w:rsidRDefault="00D67304">
            <w:pPr>
              <w:pStyle w:val="Akapitzlist"/>
              <w:numPr>
                <w:ilvl w:val="0"/>
                <w:numId w:val="23"/>
              </w:numPr>
              <w:spacing w:line="259" w:lineRule="auto"/>
              <w:ind w:left="420" w:right="89"/>
              <w:jc w:val="both"/>
              <w:rPr>
                <w:rFonts w:cstheme="minorHAnsi"/>
                <w:sz w:val="18"/>
                <w:szCs w:val="18"/>
              </w:rPr>
            </w:pPr>
            <w:r>
              <w:rPr>
                <w:rFonts w:cstheme="minorHAnsi"/>
                <w:sz w:val="18"/>
                <w:szCs w:val="18"/>
              </w:rPr>
              <w:t xml:space="preserve">Konfigurację biblioteki, </w:t>
            </w:r>
          </w:p>
          <w:p w:rsidR="008A4294" w:rsidRDefault="00D67304">
            <w:pPr>
              <w:pStyle w:val="Akapitzlist"/>
              <w:numPr>
                <w:ilvl w:val="0"/>
                <w:numId w:val="23"/>
              </w:numPr>
              <w:spacing w:line="259" w:lineRule="auto"/>
              <w:ind w:left="420" w:right="89"/>
              <w:jc w:val="both"/>
              <w:rPr>
                <w:rFonts w:cstheme="minorHAnsi"/>
                <w:sz w:val="18"/>
                <w:szCs w:val="18"/>
              </w:rPr>
            </w:pPr>
            <w:r>
              <w:rPr>
                <w:rFonts w:cstheme="minorHAnsi"/>
                <w:sz w:val="18"/>
                <w:szCs w:val="18"/>
              </w:rPr>
              <w:t xml:space="preserve">Prowadzenie statystyk biblioteki, </w:t>
            </w:r>
          </w:p>
          <w:p w:rsidR="008A4294" w:rsidRDefault="00D67304">
            <w:pPr>
              <w:pStyle w:val="Akapitzlist"/>
              <w:numPr>
                <w:ilvl w:val="0"/>
                <w:numId w:val="23"/>
              </w:numPr>
              <w:spacing w:after="2" w:line="238" w:lineRule="auto"/>
              <w:ind w:left="420" w:right="89"/>
              <w:jc w:val="both"/>
              <w:rPr>
                <w:rFonts w:cstheme="minorHAnsi"/>
                <w:sz w:val="18"/>
                <w:szCs w:val="18"/>
              </w:rPr>
            </w:pPr>
            <w:r>
              <w:rPr>
                <w:rFonts w:cstheme="minorHAnsi"/>
                <w:sz w:val="18"/>
                <w:szCs w:val="18"/>
              </w:rPr>
              <w:t xml:space="preserve">Definiowanie grup użytkowników z różnymi prawami dostępu do biblioteki (Np. operator, użytkownik, serwis), </w:t>
            </w:r>
          </w:p>
          <w:p w:rsidR="008A4294" w:rsidRDefault="00D67304">
            <w:pPr>
              <w:pStyle w:val="Akapitzlist"/>
              <w:numPr>
                <w:ilvl w:val="0"/>
                <w:numId w:val="23"/>
              </w:numPr>
              <w:spacing w:line="259" w:lineRule="auto"/>
              <w:ind w:left="420" w:right="89"/>
              <w:jc w:val="both"/>
              <w:rPr>
                <w:rFonts w:cstheme="minorHAnsi"/>
                <w:sz w:val="18"/>
                <w:szCs w:val="18"/>
              </w:rPr>
            </w:pPr>
            <w:r>
              <w:rPr>
                <w:rFonts w:cstheme="minorHAnsi"/>
                <w:sz w:val="18"/>
                <w:szCs w:val="18"/>
              </w:rPr>
              <w:t xml:space="preserve">Diagnostykę, </w:t>
            </w:r>
          </w:p>
          <w:p w:rsidR="008A4294" w:rsidRDefault="00D67304">
            <w:pPr>
              <w:pStyle w:val="Akapitzlist"/>
              <w:numPr>
                <w:ilvl w:val="0"/>
                <w:numId w:val="23"/>
              </w:numPr>
              <w:spacing w:line="259" w:lineRule="auto"/>
              <w:ind w:left="420" w:right="89"/>
              <w:jc w:val="both"/>
              <w:rPr>
                <w:rFonts w:cstheme="minorHAnsi"/>
                <w:sz w:val="18"/>
                <w:szCs w:val="18"/>
              </w:rPr>
            </w:pPr>
            <w:r>
              <w:rPr>
                <w:rFonts w:cstheme="minorHAnsi"/>
                <w:sz w:val="18"/>
                <w:szCs w:val="18"/>
              </w:rPr>
              <w:t xml:space="preserve">Wbudowany agent SNMP </w:t>
            </w:r>
          </w:p>
          <w:p w:rsidR="008A4294" w:rsidRDefault="00D67304">
            <w:pPr>
              <w:pStyle w:val="Akapitzlist"/>
              <w:numPr>
                <w:ilvl w:val="0"/>
                <w:numId w:val="23"/>
              </w:numPr>
              <w:spacing w:line="259" w:lineRule="auto"/>
              <w:ind w:left="420" w:right="89"/>
              <w:jc w:val="both"/>
              <w:rPr>
                <w:rFonts w:cstheme="minorHAnsi"/>
                <w:sz w:val="18"/>
                <w:szCs w:val="18"/>
              </w:rPr>
            </w:pPr>
            <w:r>
              <w:rPr>
                <w:rFonts w:cstheme="minorHAnsi"/>
                <w:sz w:val="18"/>
                <w:szCs w:val="18"/>
              </w:rPr>
              <w:t xml:space="preserve">Możliwość wysyłania alertów o różnym stopniu ważności na jeden adresy email. </w:t>
            </w:r>
          </w:p>
        </w:tc>
      </w:tr>
      <w:tr w:rsidR="008A4294">
        <w:trPr>
          <w:trHeight w:val="206"/>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 xml:space="preserve">Inne </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pStyle w:val="Akapitzlist"/>
              <w:numPr>
                <w:ilvl w:val="0"/>
                <w:numId w:val="21"/>
              </w:numPr>
              <w:spacing w:line="259" w:lineRule="auto"/>
              <w:ind w:left="420" w:right="89"/>
              <w:jc w:val="both"/>
              <w:rPr>
                <w:rFonts w:cstheme="minorHAnsi"/>
                <w:sz w:val="18"/>
                <w:szCs w:val="18"/>
              </w:rPr>
            </w:pPr>
            <w:r>
              <w:rPr>
                <w:rFonts w:cstheme="minorHAnsi"/>
                <w:sz w:val="18"/>
                <w:szCs w:val="18"/>
              </w:rPr>
              <w:t>Możliwość podzielenia zasobów taśmowych pomiędzy różne systemy – partycjonowanie, wraz z możliwością podłączenia każdego z zainstalowanych napędów do innego serwera w tym samym czasie,</w:t>
            </w:r>
          </w:p>
          <w:p w:rsidR="008A4294" w:rsidRDefault="00D67304">
            <w:pPr>
              <w:pStyle w:val="Akapitzlist"/>
              <w:numPr>
                <w:ilvl w:val="0"/>
                <w:numId w:val="21"/>
              </w:numPr>
              <w:spacing w:line="259" w:lineRule="auto"/>
              <w:ind w:left="420" w:right="89"/>
              <w:jc w:val="both"/>
              <w:rPr>
                <w:rFonts w:cstheme="minorHAnsi"/>
                <w:sz w:val="18"/>
                <w:szCs w:val="18"/>
              </w:rPr>
            </w:pPr>
            <w:r>
              <w:rPr>
                <w:rFonts w:cstheme="minorHAnsi"/>
                <w:sz w:val="18"/>
                <w:szCs w:val="18"/>
              </w:rPr>
              <w:t>Możliwość wyjmowania magazynków z urządzenia nawet przy braku zasilania,</w:t>
            </w:r>
          </w:p>
          <w:p w:rsidR="008A4294" w:rsidRDefault="00D67304">
            <w:pPr>
              <w:pStyle w:val="Akapitzlist"/>
              <w:numPr>
                <w:ilvl w:val="0"/>
                <w:numId w:val="21"/>
              </w:numPr>
              <w:spacing w:line="259" w:lineRule="auto"/>
              <w:ind w:left="411" w:right="89"/>
              <w:jc w:val="both"/>
              <w:rPr>
                <w:rFonts w:cstheme="minorHAnsi"/>
                <w:sz w:val="18"/>
                <w:szCs w:val="18"/>
              </w:rPr>
            </w:pPr>
            <w:r>
              <w:rPr>
                <w:rFonts w:cstheme="minorHAnsi"/>
                <w:sz w:val="18"/>
                <w:szCs w:val="18"/>
              </w:rPr>
              <w:lastRenderedPageBreak/>
              <w:t xml:space="preserve">Urządzenie musi być wyposażone w interfejs sieciowy 100base T Ethernet lub 1000BaseT Ethernet, USB służący do podłączenia urządzeń testowych oraz umożliwiające aktualizację </w:t>
            </w:r>
            <w:proofErr w:type="spellStart"/>
            <w:r>
              <w:rPr>
                <w:rFonts w:cstheme="minorHAnsi"/>
                <w:sz w:val="18"/>
                <w:szCs w:val="18"/>
              </w:rPr>
              <w:t>firmware</w:t>
            </w:r>
            <w:proofErr w:type="spellEnd"/>
            <w:r>
              <w:rPr>
                <w:rFonts w:cstheme="minorHAnsi"/>
                <w:sz w:val="18"/>
                <w:szCs w:val="18"/>
              </w:rPr>
              <w:t xml:space="preserve"> napędu oraz biblioteki,</w:t>
            </w:r>
          </w:p>
          <w:p w:rsidR="008A4294" w:rsidRDefault="00D67304">
            <w:pPr>
              <w:pStyle w:val="Akapitzlist"/>
              <w:numPr>
                <w:ilvl w:val="0"/>
                <w:numId w:val="21"/>
              </w:numPr>
              <w:spacing w:line="259" w:lineRule="auto"/>
              <w:ind w:left="420" w:right="89"/>
              <w:jc w:val="both"/>
              <w:rPr>
                <w:rFonts w:cstheme="minorHAnsi"/>
                <w:sz w:val="18"/>
                <w:szCs w:val="18"/>
              </w:rPr>
            </w:pPr>
            <w:r>
              <w:rPr>
                <w:rFonts w:cstheme="minorHAnsi"/>
                <w:sz w:val="18"/>
                <w:szCs w:val="18"/>
              </w:rPr>
              <w:t>Urządzenie musi być standardowo wyposażone w czytnik kodów kreskowych.</w:t>
            </w:r>
          </w:p>
        </w:tc>
      </w:tr>
      <w:tr w:rsidR="008A4294">
        <w:trPr>
          <w:trHeight w:val="401"/>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 xml:space="preserve">Wyposażenie dodatkowe </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spacing w:line="259" w:lineRule="auto"/>
              <w:ind w:right="89"/>
              <w:rPr>
                <w:rFonts w:cstheme="minorHAnsi"/>
                <w:sz w:val="18"/>
                <w:szCs w:val="18"/>
              </w:rPr>
            </w:pPr>
            <w:r>
              <w:rPr>
                <w:rFonts w:cstheme="minorHAnsi"/>
                <w:sz w:val="18"/>
                <w:szCs w:val="18"/>
              </w:rPr>
              <w:t>Wraz z biblioteką należy dostarczyć min. 32 szt. taśm LTO Ultrium-7 RW, wraz z etykietami oraz 2 szt. taśmy czyszczącej, przy czym wszystkie dostarczone nośniki muszą być kompatybilne i dedykowane do współpracy z oferowanym urządzeniem, co należy poświadczyć odpowiednim oświadczeniem producenta urządzenia lub oświadczeniem Wykonawcy</w:t>
            </w:r>
            <w:r>
              <w:rPr>
                <w:rFonts w:cstheme="minorHAnsi"/>
                <w:b/>
                <w:sz w:val="18"/>
                <w:szCs w:val="18"/>
              </w:rPr>
              <w:t xml:space="preserve">. </w:t>
            </w:r>
            <w:r>
              <w:rPr>
                <w:rFonts w:cstheme="minorHAnsi"/>
                <w:sz w:val="18"/>
                <w:szCs w:val="18"/>
              </w:rPr>
              <w:t>W przypadku awarii, uszkodzone taśmy pozostają u Zamawiającego (wymagane oświadczenie Wykonawcy).</w:t>
            </w:r>
          </w:p>
          <w:p w:rsidR="008A4294" w:rsidRDefault="00D67304">
            <w:pPr>
              <w:spacing w:line="259" w:lineRule="auto"/>
              <w:ind w:right="89"/>
              <w:rPr>
                <w:rFonts w:cstheme="minorHAnsi"/>
                <w:sz w:val="18"/>
                <w:szCs w:val="18"/>
              </w:rPr>
            </w:pPr>
            <w:r>
              <w:rPr>
                <w:rFonts w:cstheme="minorHAnsi"/>
                <w:sz w:val="18"/>
                <w:szCs w:val="18"/>
              </w:rPr>
              <w:t xml:space="preserve">Wraz z biblioteką należy dostarczyć kontroler SAS dual port 12Gb </w:t>
            </w:r>
            <w:proofErr w:type="spellStart"/>
            <w:r>
              <w:rPr>
                <w:rFonts w:cstheme="minorHAnsi"/>
                <w:sz w:val="18"/>
                <w:szCs w:val="18"/>
              </w:rPr>
              <w:t>Low</w:t>
            </w:r>
            <w:proofErr w:type="spellEnd"/>
            <w:r>
              <w:rPr>
                <w:rFonts w:cstheme="minorHAnsi"/>
                <w:sz w:val="18"/>
                <w:szCs w:val="18"/>
              </w:rPr>
              <w:t xml:space="preserve"> Profile</w:t>
            </w:r>
          </w:p>
        </w:tc>
      </w:tr>
      <w:tr w:rsidR="008A4294">
        <w:trPr>
          <w:trHeight w:val="401"/>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Niezawodność</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spacing w:line="259" w:lineRule="auto"/>
              <w:ind w:right="89"/>
              <w:rPr>
                <w:rFonts w:cstheme="minorHAnsi"/>
                <w:sz w:val="18"/>
                <w:szCs w:val="18"/>
              </w:rPr>
            </w:pPr>
            <w:r>
              <w:rPr>
                <w:rFonts w:cstheme="minorHAnsi"/>
                <w:sz w:val="18"/>
                <w:szCs w:val="18"/>
              </w:rPr>
              <w:t>MTBF: min. 100 000 lub MSBF min. 1 milion cykli</w:t>
            </w:r>
          </w:p>
        </w:tc>
      </w:tr>
      <w:tr w:rsidR="008A4294">
        <w:trPr>
          <w:trHeight w:val="401"/>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Gwarancja</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spacing w:line="259" w:lineRule="auto"/>
              <w:ind w:right="89"/>
              <w:rPr>
                <w:rFonts w:cstheme="minorHAnsi"/>
                <w:sz w:val="18"/>
                <w:szCs w:val="18"/>
              </w:rPr>
            </w:pPr>
            <w:r>
              <w:rPr>
                <w:rFonts w:cstheme="minorHAnsi"/>
                <w:sz w:val="18"/>
                <w:szCs w:val="18"/>
              </w:rPr>
              <w:t>36 miesięcy liczone od daty dostawy urządzenia do Zamawiającego, świadczonej w miejscu instalacji,</w:t>
            </w:r>
          </w:p>
          <w:p w:rsidR="008A4294" w:rsidRDefault="00D67304">
            <w:pPr>
              <w:spacing w:line="259" w:lineRule="auto"/>
              <w:ind w:right="89"/>
              <w:rPr>
                <w:rFonts w:cstheme="minorHAnsi"/>
                <w:sz w:val="18"/>
                <w:szCs w:val="18"/>
              </w:rPr>
            </w:pPr>
            <w:r>
              <w:rPr>
                <w:rFonts w:cstheme="minorHAnsi"/>
                <w:sz w:val="18"/>
                <w:szCs w:val="18"/>
              </w:rPr>
              <w:t>Wymagany poziom gwarancji musi obejmować zarówno samo urządzenie jak i wszystkie zainstalowany napędy.</w:t>
            </w:r>
          </w:p>
        </w:tc>
      </w:tr>
      <w:tr w:rsidR="008A4294">
        <w:trPr>
          <w:trHeight w:val="401"/>
        </w:trPr>
        <w:tc>
          <w:tcPr>
            <w:tcW w:w="851" w:type="dxa"/>
            <w:tcBorders>
              <w:top w:val="single" w:sz="4" w:space="0" w:color="000000"/>
              <w:left w:val="single" w:sz="4" w:space="0" w:color="000000"/>
              <w:bottom w:val="single" w:sz="4" w:space="0" w:color="000000"/>
              <w:right w:val="single" w:sz="4" w:space="0" w:color="000000"/>
            </w:tcBorders>
          </w:tcPr>
          <w:p w:rsidR="008A4294" w:rsidRDefault="008A4294">
            <w:pPr>
              <w:pStyle w:val="Akapitzlist"/>
              <w:numPr>
                <w:ilvl w:val="0"/>
                <w:numId w:val="24"/>
              </w:numPr>
              <w:spacing w:line="259" w:lineRule="auto"/>
              <w:jc w:val="both"/>
              <w:rPr>
                <w:rFonts w:cstheme="minorHAnsi"/>
                <w:sz w:val="18"/>
                <w:szCs w:val="18"/>
              </w:rPr>
            </w:pPr>
          </w:p>
        </w:tc>
        <w:tc>
          <w:tcPr>
            <w:tcW w:w="1869" w:type="dxa"/>
            <w:tcBorders>
              <w:top w:val="single" w:sz="4" w:space="0" w:color="000000"/>
              <w:left w:val="single" w:sz="4" w:space="0" w:color="000000"/>
              <w:bottom w:val="single" w:sz="4" w:space="0" w:color="000000"/>
              <w:right w:val="single" w:sz="4" w:space="0" w:color="000000"/>
            </w:tcBorders>
          </w:tcPr>
          <w:p w:rsidR="008A4294" w:rsidRDefault="00D67304">
            <w:pPr>
              <w:rPr>
                <w:rFonts w:ascii="Calibri" w:hAnsi="Calibri" w:cs="Calibri"/>
                <w:bCs/>
                <w:sz w:val="18"/>
                <w:szCs w:val="18"/>
              </w:rPr>
            </w:pPr>
            <w:r>
              <w:rPr>
                <w:rFonts w:ascii="Calibri" w:hAnsi="Calibri" w:cs="Calibri"/>
                <w:bCs/>
                <w:sz w:val="18"/>
                <w:szCs w:val="18"/>
              </w:rPr>
              <w:t>Okablowanie</w:t>
            </w:r>
          </w:p>
        </w:tc>
        <w:tc>
          <w:tcPr>
            <w:tcW w:w="7061" w:type="dxa"/>
            <w:tcBorders>
              <w:top w:val="single" w:sz="4" w:space="0" w:color="000000"/>
              <w:left w:val="single" w:sz="4" w:space="0" w:color="000000"/>
              <w:bottom w:val="single" w:sz="4" w:space="0" w:color="000000"/>
              <w:right w:val="single" w:sz="4" w:space="0" w:color="000000"/>
            </w:tcBorders>
          </w:tcPr>
          <w:p w:rsidR="008A4294" w:rsidRDefault="00D67304">
            <w:pPr>
              <w:spacing w:line="259" w:lineRule="auto"/>
              <w:ind w:right="89"/>
              <w:rPr>
                <w:rFonts w:cstheme="minorHAnsi"/>
                <w:sz w:val="18"/>
                <w:szCs w:val="18"/>
              </w:rPr>
            </w:pPr>
            <w:r>
              <w:rPr>
                <w:rFonts w:cstheme="minorHAnsi"/>
                <w:sz w:val="18"/>
                <w:szCs w:val="18"/>
              </w:rPr>
              <w:t>Okablowanie niezbędne do użytkowania urządzenia:</w:t>
            </w:r>
          </w:p>
          <w:p w:rsidR="008A4294" w:rsidRDefault="00D67304">
            <w:pPr>
              <w:pStyle w:val="Akapitzlist"/>
              <w:numPr>
                <w:ilvl w:val="0"/>
                <w:numId w:val="25"/>
              </w:numPr>
              <w:ind w:left="433" w:right="89"/>
              <w:rPr>
                <w:rFonts w:cstheme="minorHAnsi"/>
                <w:sz w:val="18"/>
                <w:szCs w:val="18"/>
              </w:rPr>
            </w:pPr>
            <w:r>
              <w:rPr>
                <w:rFonts w:cstheme="minorHAnsi"/>
                <w:sz w:val="18"/>
                <w:szCs w:val="18"/>
              </w:rPr>
              <w:t>zestaw kabli zasilających umożliwiających podłączenie do sieci 230V</w:t>
            </w:r>
          </w:p>
          <w:p w:rsidR="008A4294" w:rsidRDefault="00D67304">
            <w:pPr>
              <w:pStyle w:val="Akapitzlist"/>
              <w:numPr>
                <w:ilvl w:val="0"/>
                <w:numId w:val="25"/>
              </w:numPr>
              <w:ind w:left="433" w:right="89"/>
              <w:rPr>
                <w:rFonts w:cstheme="minorHAnsi"/>
                <w:sz w:val="18"/>
                <w:szCs w:val="18"/>
              </w:rPr>
            </w:pPr>
            <w:r>
              <w:rPr>
                <w:rFonts w:cstheme="minorHAnsi"/>
                <w:sz w:val="18"/>
                <w:szCs w:val="18"/>
              </w:rPr>
              <w:t>zestaw przewodów do podłączenia z UPS zakończony wtyczką IEC 60320 (C13 żeńskie)</w:t>
            </w:r>
          </w:p>
          <w:p w:rsidR="008A4294" w:rsidRDefault="00D67304">
            <w:pPr>
              <w:pStyle w:val="Akapitzlist"/>
              <w:numPr>
                <w:ilvl w:val="0"/>
                <w:numId w:val="25"/>
              </w:numPr>
              <w:ind w:left="433" w:right="89"/>
              <w:rPr>
                <w:rFonts w:cstheme="minorHAnsi"/>
                <w:sz w:val="18"/>
                <w:szCs w:val="18"/>
              </w:rPr>
            </w:pPr>
            <w:r>
              <w:rPr>
                <w:rFonts w:cstheme="minorHAnsi"/>
                <w:sz w:val="18"/>
                <w:szCs w:val="18"/>
              </w:rPr>
              <w:t>Przewód połączeniowy typu SAS o długości min 2 m. umożliwiający komunikację z urządzeniem oraz wszystkimi zainstalowanymi napędami.</w:t>
            </w:r>
          </w:p>
        </w:tc>
      </w:tr>
    </w:tbl>
    <w:p w:rsidR="008A4294" w:rsidRDefault="008A4294">
      <w:pPr>
        <w:pStyle w:val="Akapitzlist"/>
        <w:spacing w:after="0" w:line="360" w:lineRule="auto"/>
        <w:ind w:left="709"/>
        <w:jc w:val="both"/>
        <w:rPr>
          <w:rFonts w:cstheme="minorHAnsi"/>
          <w:b/>
          <w:sz w:val="24"/>
          <w:szCs w:val="20"/>
        </w:rPr>
      </w:pPr>
    </w:p>
    <w:p w:rsidR="008A4294" w:rsidRDefault="008A4294">
      <w:pPr>
        <w:pStyle w:val="Akapitzlist1"/>
        <w:spacing w:line="360" w:lineRule="auto"/>
        <w:jc w:val="both"/>
        <w:rPr>
          <w:rFonts w:asciiTheme="minorHAnsi" w:hAnsiTheme="minorHAnsi" w:cstheme="minorHAnsi"/>
          <w:b/>
        </w:rPr>
      </w:pPr>
    </w:p>
    <w:p w:rsidR="0058316D" w:rsidRDefault="0058316D">
      <w:pPr>
        <w:pStyle w:val="Akapitzlist1"/>
        <w:spacing w:line="360" w:lineRule="auto"/>
        <w:jc w:val="both"/>
        <w:rPr>
          <w:rFonts w:asciiTheme="minorHAnsi" w:hAnsiTheme="minorHAnsi" w:cstheme="minorHAnsi"/>
        </w:rPr>
      </w:pPr>
    </w:p>
    <w:sectPr w:rsidR="0058316D">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51E3" w:rsidRDefault="00D451E3">
      <w:pPr>
        <w:spacing w:after="0" w:line="240" w:lineRule="auto"/>
      </w:pPr>
      <w:r>
        <w:separator/>
      </w:r>
    </w:p>
  </w:endnote>
  <w:endnote w:type="continuationSeparator" w:id="0">
    <w:p w:rsidR="00D451E3" w:rsidRDefault="00D45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51E3" w:rsidRDefault="00D451E3">
      <w:pPr>
        <w:spacing w:after="0" w:line="240" w:lineRule="auto"/>
      </w:pPr>
      <w:r>
        <w:separator/>
      </w:r>
    </w:p>
  </w:footnote>
  <w:footnote w:type="continuationSeparator" w:id="0">
    <w:p w:rsidR="00D451E3" w:rsidRDefault="00D451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4294" w:rsidRDefault="00D67304">
    <w:pPr>
      <w:pStyle w:val="Nagwek"/>
    </w:pPr>
    <w:r>
      <w:t>Załącznik nr 1 - Rozeznanie rynku dotyczące dostawy przełączników sieciowych, macierzy dyskowej i bibliotek taśmowych na potrzeby sądów apelacji białostockiej</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91F637CC"/>
    <w:lvl w:ilvl="0">
      <w:start w:val="1"/>
      <w:numFmt w:val="decimal"/>
      <w:lvlText w:val="%1."/>
      <w:lvlJc w:val="left"/>
      <w:pPr>
        <w:ind w:left="1080" w:hanging="720"/>
      </w:pPr>
    </w:lvl>
    <w:lvl w:ilvl="1">
      <w:start w:val="2"/>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0000037"/>
    <w:multiLevelType w:val="singleLevel"/>
    <w:tmpl w:val="00000037"/>
    <w:name w:val="WW8Num57"/>
    <w:lvl w:ilvl="0">
      <w:start w:val="1"/>
      <w:numFmt w:val="decimal"/>
      <w:lvlText w:val="%1."/>
      <w:lvlJc w:val="left"/>
      <w:pPr>
        <w:tabs>
          <w:tab w:val="num" w:pos="1080"/>
        </w:tabs>
        <w:ind w:left="1080" w:hanging="1080"/>
      </w:pPr>
      <w:rPr>
        <w:rFonts w:ascii="Calibri" w:hAnsi="Calibri" w:cs="Arial" w:hint="default"/>
        <w:sz w:val="18"/>
        <w:szCs w:val="18"/>
      </w:rPr>
    </w:lvl>
  </w:abstractNum>
  <w:abstractNum w:abstractNumId="2" w15:restartNumberingAfterBreak="0">
    <w:nsid w:val="096E025D"/>
    <w:multiLevelType w:val="singleLevel"/>
    <w:tmpl w:val="00000037"/>
    <w:lvl w:ilvl="0">
      <w:start w:val="1"/>
      <w:numFmt w:val="decimal"/>
      <w:lvlText w:val="%1."/>
      <w:lvlJc w:val="left"/>
      <w:pPr>
        <w:tabs>
          <w:tab w:val="num" w:pos="1080"/>
        </w:tabs>
        <w:ind w:left="1080" w:hanging="1080"/>
      </w:pPr>
      <w:rPr>
        <w:rFonts w:ascii="Calibri" w:hAnsi="Calibri" w:cs="Arial" w:hint="default"/>
        <w:sz w:val="18"/>
        <w:szCs w:val="18"/>
      </w:rPr>
    </w:lvl>
  </w:abstractNum>
  <w:abstractNum w:abstractNumId="3" w15:restartNumberingAfterBreak="0">
    <w:nsid w:val="0C8876D9"/>
    <w:multiLevelType w:val="hybridMultilevel"/>
    <w:tmpl w:val="5A0E44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6AA23A1"/>
    <w:multiLevelType w:val="hybridMultilevel"/>
    <w:tmpl w:val="36500300"/>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1C6B7E73"/>
    <w:multiLevelType w:val="hybridMultilevel"/>
    <w:tmpl w:val="392CC7B0"/>
    <w:lvl w:ilvl="0" w:tplc="04150001">
      <w:start w:val="1"/>
      <w:numFmt w:val="bullet"/>
      <w:lvlText w:val=""/>
      <w:lvlJc w:val="left"/>
      <w:pPr>
        <w:ind w:left="1136" w:hanging="360"/>
      </w:pPr>
      <w:rPr>
        <w:rFonts w:ascii="Symbol" w:hAnsi="Symbol" w:hint="default"/>
      </w:rPr>
    </w:lvl>
    <w:lvl w:ilvl="1" w:tplc="04150003" w:tentative="1">
      <w:start w:val="1"/>
      <w:numFmt w:val="bullet"/>
      <w:lvlText w:val="o"/>
      <w:lvlJc w:val="left"/>
      <w:pPr>
        <w:ind w:left="1856" w:hanging="360"/>
      </w:pPr>
      <w:rPr>
        <w:rFonts w:ascii="Courier New" w:hAnsi="Courier New" w:cs="Courier New" w:hint="default"/>
      </w:rPr>
    </w:lvl>
    <w:lvl w:ilvl="2" w:tplc="04150005" w:tentative="1">
      <w:start w:val="1"/>
      <w:numFmt w:val="bullet"/>
      <w:lvlText w:val=""/>
      <w:lvlJc w:val="left"/>
      <w:pPr>
        <w:ind w:left="2576" w:hanging="360"/>
      </w:pPr>
      <w:rPr>
        <w:rFonts w:ascii="Wingdings" w:hAnsi="Wingdings" w:hint="default"/>
      </w:rPr>
    </w:lvl>
    <w:lvl w:ilvl="3" w:tplc="04150001" w:tentative="1">
      <w:start w:val="1"/>
      <w:numFmt w:val="bullet"/>
      <w:lvlText w:val=""/>
      <w:lvlJc w:val="left"/>
      <w:pPr>
        <w:ind w:left="3296" w:hanging="360"/>
      </w:pPr>
      <w:rPr>
        <w:rFonts w:ascii="Symbol" w:hAnsi="Symbol" w:hint="default"/>
      </w:rPr>
    </w:lvl>
    <w:lvl w:ilvl="4" w:tplc="04150003" w:tentative="1">
      <w:start w:val="1"/>
      <w:numFmt w:val="bullet"/>
      <w:lvlText w:val="o"/>
      <w:lvlJc w:val="left"/>
      <w:pPr>
        <w:ind w:left="4016" w:hanging="360"/>
      </w:pPr>
      <w:rPr>
        <w:rFonts w:ascii="Courier New" w:hAnsi="Courier New" w:cs="Courier New" w:hint="default"/>
      </w:rPr>
    </w:lvl>
    <w:lvl w:ilvl="5" w:tplc="04150005" w:tentative="1">
      <w:start w:val="1"/>
      <w:numFmt w:val="bullet"/>
      <w:lvlText w:val=""/>
      <w:lvlJc w:val="left"/>
      <w:pPr>
        <w:ind w:left="4736" w:hanging="360"/>
      </w:pPr>
      <w:rPr>
        <w:rFonts w:ascii="Wingdings" w:hAnsi="Wingdings" w:hint="default"/>
      </w:rPr>
    </w:lvl>
    <w:lvl w:ilvl="6" w:tplc="04150001" w:tentative="1">
      <w:start w:val="1"/>
      <w:numFmt w:val="bullet"/>
      <w:lvlText w:val=""/>
      <w:lvlJc w:val="left"/>
      <w:pPr>
        <w:ind w:left="5456" w:hanging="360"/>
      </w:pPr>
      <w:rPr>
        <w:rFonts w:ascii="Symbol" w:hAnsi="Symbol" w:hint="default"/>
      </w:rPr>
    </w:lvl>
    <w:lvl w:ilvl="7" w:tplc="04150003" w:tentative="1">
      <w:start w:val="1"/>
      <w:numFmt w:val="bullet"/>
      <w:lvlText w:val="o"/>
      <w:lvlJc w:val="left"/>
      <w:pPr>
        <w:ind w:left="6176" w:hanging="360"/>
      </w:pPr>
      <w:rPr>
        <w:rFonts w:ascii="Courier New" w:hAnsi="Courier New" w:cs="Courier New" w:hint="default"/>
      </w:rPr>
    </w:lvl>
    <w:lvl w:ilvl="8" w:tplc="04150005" w:tentative="1">
      <w:start w:val="1"/>
      <w:numFmt w:val="bullet"/>
      <w:lvlText w:val=""/>
      <w:lvlJc w:val="left"/>
      <w:pPr>
        <w:ind w:left="6896" w:hanging="360"/>
      </w:pPr>
      <w:rPr>
        <w:rFonts w:ascii="Wingdings" w:hAnsi="Wingdings" w:hint="default"/>
      </w:rPr>
    </w:lvl>
  </w:abstractNum>
  <w:abstractNum w:abstractNumId="6" w15:restartNumberingAfterBreak="0">
    <w:nsid w:val="1E4C71A3"/>
    <w:multiLevelType w:val="hybridMultilevel"/>
    <w:tmpl w:val="9AE82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29D0D7A"/>
    <w:multiLevelType w:val="hybridMultilevel"/>
    <w:tmpl w:val="0F580E08"/>
    <w:lvl w:ilvl="0" w:tplc="04150001">
      <w:start w:val="1"/>
      <w:numFmt w:val="bullet"/>
      <w:lvlText w:val=""/>
      <w:lvlJc w:val="left"/>
      <w:pPr>
        <w:ind w:left="720" w:hanging="360"/>
      </w:pPr>
      <w:rPr>
        <w:rFonts w:ascii="Symbol" w:hAnsi="Symbol" w:hint="default"/>
      </w:rPr>
    </w:lvl>
    <w:lvl w:ilvl="1" w:tplc="3C38B110">
      <w:numFmt w:val="bullet"/>
      <w:lvlText w:val="-"/>
      <w:lvlJc w:val="left"/>
      <w:pPr>
        <w:ind w:left="1440" w:hanging="360"/>
      </w:pPr>
      <w:rPr>
        <w:rFonts w:ascii="Arial" w:eastAsia="Times New Roman"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1758C0"/>
    <w:multiLevelType w:val="hybridMultilevel"/>
    <w:tmpl w:val="FDD680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5323166"/>
    <w:multiLevelType w:val="hybridMultilevel"/>
    <w:tmpl w:val="B1D85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6682261"/>
    <w:multiLevelType w:val="hybridMultilevel"/>
    <w:tmpl w:val="987899EE"/>
    <w:lvl w:ilvl="0" w:tplc="B5F2857E">
      <w:start w:val="1"/>
      <w:numFmt w:val="decimal"/>
      <w:lvlText w:val="%1."/>
      <w:lvlJc w:val="left"/>
      <w:pPr>
        <w:tabs>
          <w:tab w:val="num" w:pos="1077"/>
        </w:tabs>
        <w:ind w:left="1077" w:hanging="107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C3928"/>
    <w:multiLevelType w:val="hybridMultilevel"/>
    <w:tmpl w:val="CFF2150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21267FB"/>
    <w:multiLevelType w:val="singleLevel"/>
    <w:tmpl w:val="00000037"/>
    <w:lvl w:ilvl="0">
      <w:start w:val="1"/>
      <w:numFmt w:val="decimal"/>
      <w:lvlText w:val="%1."/>
      <w:lvlJc w:val="left"/>
      <w:pPr>
        <w:tabs>
          <w:tab w:val="num" w:pos="1080"/>
        </w:tabs>
        <w:ind w:left="1080" w:hanging="1080"/>
      </w:pPr>
      <w:rPr>
        <w:rFonts w:ascii="Calibri" w:hAnsi="Calibri" w:cs="Arial" w:hint="default"/>
        <w:sz w:val="18"/>
        <w:szCs w:val="18"/>
      </w:rPr>
    </w:lvl>
  </w:abstractNum>
  <w:abstractNum w:abstractNumId="13" w15:restartNumberingAfterBreak="0">
    <w:nsid w:val="44C74759"/>
    <w:multiLevelType w:val="hybridMultilevel"/>
    <w:tmpl w:val="E452C5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5A218E5"/>
    <w:multiLevelType w:val="hybridMultilevel"/>
    <w:tmpl w:val="46D6D614"/>
    <w:lvl w:ilvl="0" w:tplc="C6F8B74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88551EA"/>
    <w:multiLevelType w:val="hybridMultilevel"/>
    <w:tmpl w:val="8228D3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C274433"/>
    <w:multiLevelType w:val="hybridMultilevel"/>
    <w:tmpl w:val="1F4057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EEC6FAA"/>
    <w:multiLevelType w:val="hybridMultilevel"/>
    <w:tmpl w:val="18A839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4174AB0"/>
    <w:multiLevelType w:val="singleLevel"/>
    <w:tmpl w:val="00000037"/>
    <w:lvl w:ilvl="0">
      <w:start w:val="1"/>
      <w:numFmt w:val="decimal"/>
      <w:lvlText w:val="%1."/>
      <w:lvlJc w:val="left"/>
      <w:pPr>
        <w:tabs>
          <w:tab w:val="num" w:pos="1080"/>
        </w:tabs>
        <w:ind w:left="1080" w:hanging="1080"/>
      </w:pPr>
      <w:rPr>
        <w:rFonts w:ascii="Calibri" w:hAnsi="Calibri" w:cs="Arial" w:hint="default"/>
        <w:sz w:val="18"/>
        <w:szCs w:val="18"/>
      </w:rPr>
    </w:lvl>
  </w:abstractNum>
  <w:abstractNum w:abstractNumId="19" w15:restartNumberingAfterBreak="0">
    <w:nsid w:val="601B3CCE"/>
    <w:multiLevelType w:val="hybridMultilevel"/>
    <w:tmpl w:val="55ECC05A"/>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0852A49"/>
    <w:multiLevelType w:val="hybridMultilevel"/>
    <w:tmpl w:val="CC1A76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83B6974"/>
    <w:multiLevelType w:val="hybridMultilevel"/>
    <w:tmpl w:val="DAA47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F06142C"/>
    <w:multiLevelType w:val="singleLevel"/>
    <w:tmpl w:val="00000037"/>
    <w:lvl w:ilvl="0">
      <w:start w:val="1"/>
      <w:numFmt w:val="decimal"/>
      <w:lvlText w:val="%1."/>
      <w:lvlJc w:val="left"/>
      <w:pPr>
        <w:tabs>
          <w:tab w:val="num" w:pos="1080"/>
        </w:tabs>
        <w:ind w:left="1080" w:hanging="1080"/>
      </w:pPr>
      <w:rPr>
        <w:rFonts w:ascii="Calibri" w:hAnsi="Calibri" w:cs="Arial" w:hint="default"/>
        <w:sz w:val="18"/>
        <w:szCs w:val="18"/>
      </w:rPr>
    </w:lvl>
  </w:abstractNum>
  <w:abstractNum w:abstractNumId="23" w15:restartNumberingAfterBreak="0">
    <w:nsid w:val="7D240F31"/>
    <w:multiLevelType w:val="singleLevel"/>
    <w:tmpl w:val="00000037"/>
    <w:lvl w:ilvl="0">
      <w:start w:val="1"/>
      <w:numFmt w:val="decimal"/>
      <w:lvlText w:val="%1."/>
      <w:lvlJc w:val="left"/>
      <w:pPr>
        <w:tabs>
          <w:tab w:val="num" w:pos="1080"/>
        </w:tabs>
        <w:ind w:left="1080" w:hanging="1080"/>
      </w:pPr>
      <w:rPr>
        <w:rFonts w:ascii="Calibri" w:hAnsi="Calibri" w:cs="Arial" w:hint="default"/>
        <w:sz w:val="18"/>
        <w:szCs w:val="18"/>
      </w:rPr>
    </w:lvl>
  </w:abstractNum>
  <w:abstractNum w:abstractNumId="24" w15:restartNumberingAfterBreak="0">
    <w:nsid w:val="7F48505F"/>
    <w:multiLevelType w:val="singleLevel"/>
    <w:tmpl w:val="00000037"/>
    <w:lvl w:ilvl="0">
      <w:start w:val="1"/>
      <w:numFmt w:val="decimal"/>
      <w:lvlText w:val="%1."/>
      <w:lvlJc w:val="left"/>
      <w:pPr>
        <w:tabs>
          <w:tab w:val="num" w:pos="1080"/>
        </w:tabs>
        <w:ind w:left="1080" w:hanging="1080"/>
      </w:pPr>
      <w:rPr>
        <w:rFonts w:ascii="Calibri" w:hAnsi="Calibri" w:cs="Arial" w:hint="default"/>
        <w:sz w:val="18"/>
        <w:szCs w:val="18"/>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4"/>
  </w:num>
  <w:num w:numId="5">
    <w:abstractNumId w:val="1"/>
  </w:num>
  <w:num w:numId="6">
    <w:abstractNumId w:val="11"/>
  </w:num>
  <w:num w:numId="7">
    <w:abstractNumId w:val="4"/>
  </w:num>
  <w:num w:numId="8">
    <w:abstractNumId w:val="23"/>
  </w:num>
  <w:num w:numId="9">
    <w:abstractNumId w:val="5"/>
  </w:num>
  <w:num w:numId="10">
    <w:abstractNumId w:val="6"/>
  </w:num>
  <w:num w:numId="11">
    <w:abstractNumId w:val="7"/>
  </w:num>
  <w:num w:numId="12">
    <w:abstractNumId w:val="9"/>
  </w:num>
  <w:num w:numId="13">
    <w:abstractNumId w:val="20"/>
  </w:num>
  <w:num w:numId="14">
    <w:abstractNumId w:val="15"/>
  </w:num>
  <w:num w:numId="15">
    <w:abstractNumId w:val="18"/>
  </w:num>
  <w:num w:numId="16">
    <w:abstractNumId w:val="2"/>
  </w:num>
  <w:num w:numId="17">
    <w:abstractNumId w:val="12"/>
  </w:num>
  <w:num w:numId="18">
    <w:abstractNumId w:val="22"/>
  </w:num>
  <w:num w:numId="19">
    <w:abstractNumId w:val="13"/>
  </w:num>
  <w:num w:numId="20">
    <w:abstractNumId w:val="17"/>
  </w:num>
  <w:num w:numId="21">
    <w:abstractNumId w:val="21"/>
  </w:num>
  <w:num w:numId="22">
    <w:abstractNumId w:val="3"/>
  </w:num>
  <w:num w:numId="23">
    <w:abstractNumId w:val="16"/>
  </w:num>
  <w:num w:numId="24">
    <w:abstractNumId w:val="10"/>
  </w:num>
  <w:num w:numId="25">
    <w:abstractNumId w:val="8"/>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294"/>
    <w:rsid w:val="00553B02"/>
    <w:rsid w:val="0058316D"/>
    <w:rsid w:val="0065095D"/>
    <w:rsid w:val="008A4294"/>
    <w:rsid w:val="00927DC5"/>
    <w:rsid w:val="00972698"/>
    <w:rsid w:val="00C253DF"/>
    <w:rsid w:val="00D451E3"/>
    <w:rsid w:val="00D673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997D07-C825-4637-82FE-C4DCA19C8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pPr>
      <w:spacing w:line="256" w:lineRule="auto"/>
      <w:ind w:left="720"/>
      <w:contextualSpacing/>
    </w:pPr>
  </w:style>
  <w:style w:type="paragraph" w:customStyle="1" w:styleId="Akapitzlist1">
    <w:name w:val="Akapit z listą1"/>
    <w:basedOn w:val="Normalny"/>
    <w:pPr>
      <w:widowControl w:val="0"/>
      <w:suppressAutoHyphens/>
      <w:spacing w:after="0" w:line="240" w:lineRule="auto"/>
    </w:pPr>
    <w:rPr>
      <w:rFonts w:ascii="Times New Roman" w:eastAsia="SimSun" w:hAnsi="Times New Roman" w:cs="Arial"/>
      <w:kern w:val="2"/>
      <w:sz w:val="24"/>
      <w:szCs w:val="24"/>
      <w:lang w:eastAsia="hi-IN" w:bidi="hi-IN"/>
    </w:rPr>
  </w:style>
  <w:style w:type="paragraph" w:styleId="Bezodstpw">
    <w:name w:val="No Spacing"/>
    <w:basedOn w:val="Normalny"/>
    <w:qFormat/>
    <w:pPr>
      <w:suppressAutoHyphens/>
      <w:spacing w:after="0" w:line="240" w:lineRule="auto"/>
    </w:pPr>
    <w:rPr>
      <w:rFonts w:ascii="Cambria" w:eastAsia="Times New Roman" w:hAnsi="Cambria" w:cs="Times New Roman"/>
      <w:lang w:eastAsia="ar-SA"/>
    </w:rPr>
  </w:style>
  <w:style w:type="table" w:customStyle="1" w:styleId="TableGrid">
    <w:name w:val="TableGrid"/>
    <w:pPr>
      <w:spacing w:after="0" w:line="240" w:lineRule="auto"/>
    </w:pPr>
    <w:rPr>
      <w:rFonts w:eastAsiaTheme="minorEastAsia"/>
      <w:lang w:eastAsia="pl-PL"/>
    </w:rPr>
    <w:tblPr>
      <w:tblCellMar>
        <w:top w:w="0" w:type="dxa"/>
        <w:left w:w="0" w:type="dxa"/>
        <w:bottom w:w="0" w:type="dxa"/>
        <w:right w:w="0" w:type="dxa"/>
      </w:tblCellMar>
    </w:tblPr>
  </w:style>
  <w:style w:type="paragraph" w:styleId="Nagwek">
    <w:name w:val="header"/>
    <w:basedOn w:val="Normalny"/>
    <w:link w:val="NagwekZnak"/>
    <w:uiPriority w:val="99"/>
    <w:unhideWhenUsed/>
    <w:pPr>
      <w:tabs>
        <w:tab w:val="center" w:pos="4536"/>
        <w:tab w:val="right" w:pos="9072"/>
      </w:tabs>
      <w:spacing w:after="0" w:line="240" w:lineRule="auto"/>
    </w:pPr>
  </w:style>
  <w:style w:type="character" w:customStyle="1" w:styleId="NagwekZnak">
    <w:name w:val="Nagłówek Znak"/>
    <w:basedOn w:val="Domylnaczcionkaakapitu"/>
    <w:link w:val="Nagwek"/>
    <w:uiPriority w:val="99"/>
  </w:style>
  <w:style w:type="paragraph" w:styleId="Stopka">
    <w:name w:val="footer"/>
    <w:basedOn w:val="Normalny"/>
    <w:link w:val="StopkaZnak"/>
    <w:uiPriority w:val="99"/>
    <w:unhideWhenUsed/>
    <w:pPr>
      <w:tabs>
        <w:tab w:val="center" w:pos="4536"/>
        <w:tab w:val="right" w:pos="9072"/>
      </w:tabs>
      <w:spacing w:after="0" w:line="240" w:lineRule="auto"/>
    </w:pPr>
  </w:style>
  <w:style w:type="character" w:customStyle="1" w:styleId="StopkaZnak">
    <w:name w:val="Stopka Znak"/>
    <w:basedOn w:val="Domylnaczcionkaakapitu"/>
    <w:link w:val="Stopka"/>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56708">
      <w:bodyDiv w:val="1"/>
      <w:marLeft w:val="0"/>
      <w:marRight w:val="0"/>
      <w:marTop w:val="0"/>
      <w:marBottom w:val="0"/>
      <w:divBdr>
        <w:top w:val="none" w:sz="0" w:space="0" w:color="auto"/>
        <w:left w:val="none" w:sz="0" w:space="0" w:color="auto"/>
        <w:bottom w:val="none" w:sz="0" w:space="0" w:color="auto"/>
        <w:right w:val="none" w:sz="0" w:space="0" w:color="auto"/>
      </w:divBdr>
    </w:div>
    <w:div w:id="1580556599">
      <w:bodyDiv w:val="1"/>
      <w:marLeft w:val="0"/>
      <w:marRight w:val="0"/>
      <w:marTop w:val="0"/>
      <w:marBottom w:val="0"/>
      <w:divBdr>
        <w:top w:val="none" w:sz="0" w:space="0" w:color="auto"/>
        <w:left w:val="none" w:sz="0" w:space="0" w:color="auto"/>
        <w:bottom w:val="none" w:sz="0" w:space="0" w:color="auto"/>
        <w:right w:val="none" w:sz="0" w:space="0" w:color="auto"/>
      </w:divBdr>
    </w:div>
    <w:div w:id="186012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2815</Words>
  <Characters>16890</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Sylwester Steuer</dc:creator>
  <cp:keywords/>
  <dc:description/>
  <cp:lastModifiedBy>Radosław Świsłocki</cp:lastModifiedBy>
  <cp:revision>2</cp:revision>
  <dcterms:created xsi:type="dcterms:W3CDTF">2022-04-11T07:36:00Z</dcterms:created>
  <dcterms:modified xsi:type="dcterms:W3CDTF">2022-04-11T07:36:00Z</dcterms:modified>
</cp:coreProperties>
</file>