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BC4" w:rsidRPr="00AF41C4" w:rsidRDefault="00A50BC4" w:rsidP="00AF41C4">
      <w:pPr>
        <w:spacing w:line="360" w:lineRule="auto"/>
        <w:rPr>
          <w:rFonts w:asciiTheme="minorHAnsi" w:hAnsiTheme="minorHAnsi" w:cstheme="minorHAnsi"/>
          <w:w w:val="110"/>
          <w:sz w:val="28"/>
        </w:rPr>
      </w:pPr>
      <w:r w:rsidRPr="00AF41C4">
        <w:rPr>
          <w:rFonts w:asciiTheme="minorHAnsi" w:hAnsiTheme="minorHAnsi" w:cstheme="minorHAnsi"/>
          <w:w w:val="110"/>
          <w:sz w:val="28"/>
        </w:rPr>
        <w:t>OPIS PRZEDMIOTU ZAMÓWIENIA</w:t>
      </w:r>
    </w:p>
    <w:p w:rsidR="00A50BC4" w:rsidRPr="00AF41C4" w:rsidRDefault="00A50BC4" w:rsidP="00AF41C4">
      <w:pPr>
        <w:spacing w:line="360" w:lineRule="auto"/>
        <w:rPr>
          <w:rFonts w:asciiTheme="minorHAnsi" w:hAnsiTheme="minorHAnsi" w:cstheme="minorHAnsi"/>
          <w:w w:val="110"/>
          <w:sz w:val="28"/>
        </w:rPr>
      </w:pPr>
      <w:r w:rsidRPr="00AF41C4">
        <w:rPr>
          <w:rFonts w:asciiTheme="minorHAnsi" w:hAnsiTheme="minorHAnsi" w:cstheme="minorHAnsi"/>
          <w:w w:val="110"/>
          <w:sz w:val="28"/>
        </w:rPr>
        <w:t>„Przedłużenie subskrypcji i wsparcia dla posiadanych urządzeń bezpieczeństwa brzegu sieci w sądach apelacji białostockiej.”</w:t>
      </w:r>
    </w:p>
    <w:p w:rsidR="00A50BC4" w:rsidRPr="00AF41C4" w:rsidRDefault="00A50BC4" w:rsidP="00AE3C16">
      <w:pPr>
        <w:pStyle w:val="Akapitzlist"/>
        <w:numPr>
          <w:ilvl w:val="0"/>
          <w:numId w:val="1"/>
        </w:numPr>
        <w:spacing w:before="240" w:after="0" w:line="360" w:lineRule="auto"/>
        <w:ind w:left="567" w:hanging="567"/>
        <w:rPr>
          <w:rFonts w:asciiTheme="minorHAnsi" w:hAnsiTheme="minorHAnsi" w:cstheme="minorHAnsi"/>
          <w:b/>
          <w:sz w:val="24"/>
          <w:szCs w:val="20"/>
        </w:rPr>
      </w:pPr>
      <w:r w:rsidRPr="00AF41C4">
        <w:rPr>
          <w:rFonts w:asciiTheme="minorHAnsi" w:hAnsiTheme="minorHAnsi" w:cstheme="minorHAnsi"/>
          <w:b/>
          <w:sz w:val="24"/>
          <w:szCs w:val="20"/>
        </w:rPr>
        <w:t>Przedmiot zamówienia</w:t>
      </w:r>
    </w:p>
    <w:p w:rsidR="00A50BC4" w:rsidRPr="00AF41C4" w:rsidRDefault="00A50BC4" w:rsidP="00AF41C4">
      <w:pPr>
        <w:pStyle w:val="Akapitzlist"/>
        <w:numPr>
          <w:ilvl w:val="0"/>
          <w:numId w:val="2"/>
        </w:numPr>
        <w:spacing w:before="120" w:after="0" w:line="360" w:lineRule="auto"/>
        <w:rPr>
          <w:rFonts w:asciiTheme="minorHAnsi" w:hAnsiTheme="minorHAnsi" w:cstheme="minorHAnsi"/>
          <w:sz w:val="24"/>
          <w:szCs w:val="24"/>
        </w:rPr>
      </w:pPr>
      <w:r w:rsidRPr="00AF41C4">
        <w:rPr>
          <w:rFonts w:asciiTheme="minorHAnsi" w:hAnsiTheme="minorHAnsi" w:cstheme="minorHAnsi"/>
          <w:sz w:val="24"/>
          <w:szCs w:val="24"/>
        </w:rPr>
        <w:t>Przedmiotem zamówienia jest przedłużenie subskrypcji i wsparcia dla posiadanych urządzeń   bezpieczeństwa brzegu sieci w sądach apelacji białostockiej.</w:t>
      </w:r>
    </w:p>
    <w:p w:rsidR="00A50BC4" w:rsidRPr="00AF41C4" w:rsidRDefault="00A50BC4" w:rsidP="00AF41C4">
      <w:pPr>
        <w:pStyle w:val="Akapitzlist"/>
        <w:numPr>
          <w:ilvl w:val="0"/>
          <w:numId w:val="2"/>
        </w:numPr>
        <w:spacing w:before="120" w:after="0" w:line="360" w:lineRule="auto"/>
        <w:ind w:left="641" w:hanging="357"/>
        <w:rPr>
          <w:rFonts w:asciiTheme="minorHAnsi" w:hAnsiTheme="minorHAnsi" w:cstheme="minorHAnsi"/>
          <w:sz w:val="24"/>
          <w:szCs w:val="24"/>
        </w:rPr>
      </w:pPr>
      <w:r w:rsidRPr="00AF41C4">
        <w:rPr>
          <w:rFonts w:asciiTheme="minorHAnsi" w:hAnsiTheme="minorHAnsi" w:cstheme="minorHAnsi"/>
          <w:sz w:val="24"/>
          <w:szCs w:val="24"/>
        </w:rPr>
        <w:t>W zakres przedmiotu zamówienia wchodzą:</w:t>
      </w:r>
    </w:p>
    <w:p w:rsidR="001073F0" w:rsidRPr="00AF41C4" w:rsidRDefault="001073F0" w:rsidP="00AF41C4">
      <w:pPr>
        <w:spacing w:after="240" w:line="360" w:lineRule="auto"/>
        <w:ind w:left="851" w:hanging="142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1) przedłużenie subskrypcji oraz usługi wsparcia dla urządze</w:t>
      </w:r>
      <w:r w:rsidR="002647D3">
        <w:rPr>
          <w:rFonts w:asciiTheme="minorHAnsi" w:hAnsiTheme="minorHAnsi" w:cstheme="minorHAnsi"/>
          <w:szCs w:val="24"/>
        </w:rPr>
        <w:t>ń</w:t>
      </w:r>
      <w:r w:rsidRPr="00AF41C4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F41C4">
        <w:rPr>
          <w:rFonts w:asciiTheme="minorHAnsi" w:hAnsiTheme="minorHAnsi" w:cstheme="minorHAnsi"/>
          <w:szCs w:val="24"/>
        </w:rPr>
        <w:t>PaloAlto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r w:rsidR="002647D3">
        <w:rPr>
          <w:rFonts w:asciiTheme="minorHAnsi" w:hAnsiTheme="minorHAnsi" w:cstheme="minorHAnsi"/>
          <w:szCs w:val="24"/>
        </w:rPr>
        <w:t>3220</w:t>
      </w:r>
      <w:r w:rsidRPr="00AF41C4">
        <w:rPr>
          <w:rFonts w:asciiTheme="minorHAnsi" w:hAnsiTheme="minorHAnsi" w:cstheme="minorHAnsi"/>
          <w:szCs w:val="24"/>
        </w:rPr>
        <w:t xml:space="preserve"> </w:t>
      </w:r>
      <w:r w:rsidR="002647D3">
        <w:rPr>
          <w:rFonts w:asciiTheme="minorHAnsi" w:hAnsiTheme="minorHAnsi" w:cstheme="minorHAnsi"/>
          <w:szCs w:val="24"/>
        </w:rPr>
        <w:t xml:space="preserve">procujących w klastrze </w:t>
      </w:r>
      <w:r w:rsidRPr="00AF41C4">
        <w:rPr>
          <w:rFonts w:asciiTheme="minorHAnsi" w:hAnsiTheme="minorHAnsi" w:cstheme="minorHAnsi"/>
          <w:szCs w:val="24"/>
        </w:rPr>
        <w:t>na okres 36 miesięcy od dnia wygaśnięcia aktualnie obowiązującego wsparcia.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3090"/>
        <w:gridCol w:w="1721"/>
        <w:gridCol w:w="1807"/>
        <w:gridCol w:w="1952"/>
      </w:tblGrid>
      <w:tr w:rsidR="001073F0" w:rsidRPr="00AF41C4" w:rsidTr="0045715E"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Lp.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Jednostka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Nazwa urządzenia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Numer seryjny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Wsparcie ważne do</w:t>
            </w:r>
          </w:p>
        </w:tc>
      </w:tr>
      <w:tr w:rsidR="001073F0" w:rsidRPr="00AF41C4" w:rsidTr="00AF41C4"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8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 xml:space="preserve">Sąd </w:t>
            </w:r>
            <w:r w:rsidR="002647D3">
              <w:rPr>
                <w:rFonts w:asciiTheme="minorHAnsi" w:eastAsia="Calibri" w:hAnsiTheme="minorHAnsi" w:cstheme="minorHAnsi"/>
                <w:szCs w:val="24"/>
              </w:rPr>
              <w:t>Apelacyjny</w:t>
            </w:r>
            <w:r w:rsidRPr="00AF41C4">
              <w:rPr>
                <w:rFonts w:asciiTheme="minorHAnsi" w:eastAsia="Calibri" w:hAnsiTheme="minorHAnsi" w:cstheme="minorHAnsi"/>
                <w:szCs w:val="24"/>
              </w:rPr>
              <w:t xml:space="preserve"> w Białymstoku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</w:t>
            </w:r>
            <w:r w:rsidR="002647D3">
              <w:rPr>
                <w:rFonts w:asciiTheme="minorHAnsi" w:eastAsia="Calibri" w:hAnsiTheme="minorHAnsi" w:cstheme="minorHAnsi"/>
                <w:szCs w:val="24"/>
              </w:rPr>
              <w:t>3220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2647D3" w:rsidRDefault="002647D3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2647D3">
              <w:rPr>
                <w:rFonts w:asciiTheme="minorHAnsi" w:hAnsiTheme="minorHAnsi" w:cstheme="minorHAnsi"/>
                <w:color w:val="32393F"/>
                <w:szCs w:val="24"/>
                <w:shd w:val="clear" w:color="auto" w:fill="FFFFFF"/>
              </w:rPr>
              <w:t>016201017427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</w:t>
            </w:r>
            <w:r w:rsidR="002647D3">
              <w:rPr>
                <w:rFonts w:asciiTheme="minorHAnsi" w:eastAsia="Calibri" w:hAnsiTheme="minorHAnsi" w:cstheme="minorHAnsi"/>
                <w:szCs w:val="24"/>
              </w:rPr>
              <w:t>8</w:t>
            </w:r>
            <w:r w:rsidRPr="00AF41C4">
              <w:rPr>
                <w:rFonts w:asciiTheme="minorHAnsi" w:eastAsia="Calibri" w:hAnsiTheme="minorHAnsi" w:cstheme="minorHAnsi"/>
                <w:szCs w:val="24"/>
              </w:rPr>
              <w:t>.12.202</w:t>
            </w:r>
            <w:r w:rsidR="002647D3">
              <w:rPr>
                <w:rFonts w:asciiTheme="minorHAnsi" w:eastAsia="Calibri" w:hAnsiTheme="minorHAnsi" w:cstheme="minorHAnsi"/>
                <w:szCs w:val="24"/>
              </w:rPr>
              <w:t>3</w:t>
            </w:r>
          </w:p>
        </w:tc>
      </w:tr>
      <w:tr w:rsidR="002647D3" w:rsidRPr="00AF41C4" w:rsidTr="00AF41C4"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D3" w:rsidRPr="00AF41C4" w:rsidRDefault="002647D3" w:rsidP="002647D3">
            <w:pPr>
              <w:numPr>
                <w:ilvl w:val="0"/>
                <w:numId w:val="8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D3" w:rsidRPr="00AF41C4" w:rsidRDefault="002647D3" w:rsidP="002647D3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 xml:space="preserve">Sąd </w:t>
            </w:r>
            <w:r>
              <w:rPr>
                <w:rFonts w:asciiTheme="minorHAnsi" w:eastAsia="Calibri" w:hAnsiTheme="minorHAnsi" w:cstheme="minorHAnsi"/>
                <w:szCs w:val="24"/>
              </w:rPr>
              <w:t>Apelacyjny</w:t>
            </w:r>
            <w:r w:rsidRPr="00AF41C4">
              <w:rPr>
                <w:rFonts w:asciiTheme="minorHAnsi" w:eastAsia="Calibri" w:hAnsiTheme="minorHAnsi" w:cstheme="minorHAnsi"/>
                <w:szCs w:val="24"/>
              </w:rPr>
              <w:t xml:space="preserve"> w Białymstoku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D3" w:rsidRPr="00AF41C4" w:rsidRDefault="002647D3" w:rsidP="002647D3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</w:t>
            </w:r>
            <w:r>
              <w:rPr>
                <w:rFonts w:asciiTheme="minorHAnsi" w:eastAsia="Calibri" w:hAnsiTheme="minorHAnsi" w:cstheme="minorHAnsi"/>
                <w:szCs w:val="24"/>
              </w:rPr>
              <w:t>3220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D3" w:rsidRPr="002647D3" w:rsidRDefault="002647D3" w:rsidP="002647D3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2647D3">
              <w:rPr>
                <w:rFonts w:asciiTheme="minorHAnsi" w:hAnsiTheme="minorHAnsi" w:cstheme="minorHAnsi"/>
                <w:color w:val="32393F"/>
                <w:szCs w:val="24"/>
                <w:shd w:val="clear" w:color="auto" w:fill="FFFFFF"/>
              </w:rPr>
              <w:t>016201017374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D3" w:rsidRPr="00AF41C4" w:rsidRDefault="002647D3" w:rsidP="002647D3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</w:t>
            </w:r>
            <w:r>
              <w:rPr>
                <w:rFonts w:asciiTheme="minorHAnsi" w:eastAsia="Calibri" w:hAnsiTheme="minorHAnsi" w:cstheme="minorHAnsi"/>
                <w:szCs w:val="24"/>
              </w:rPr>
              <w:t>8</w:t>
            </w:r>
            <w:r w:rsidRPr="00AF41C4">
              <w:rPr>
                <w:rFonts w:asciiTheme="minorHAnsi" w:eastAsia="Calibri" w:hAnsiTheme="minorHAnsi" w:cstheme="minorHAnsi"/>
                <w:szCs w:val="24"/>
              </w:rPr>
              <w:t>.12.202</w:t>
            </w:r>
            <w:r>
              <w:rPr>
                <w:rFonts w:asciiTheme="minorHAnsi" w:eastAsia="Calibri" w:hAnsiTheme="minorHAnsi" w:cstheme="minorHAnsi"/>
                <w:szCs w:val="24"/>
              </w:rPr>
              <w:t>3</w:t>
            </w:r>
          </w:p>
        </w:tc>
      </w:tr>
    </w:tbl>
    <w:p w:rsidR="001073F0" w:rsidRPr="00AF41C4" w:rsidRDefault="001073F0" w:rsidP="00AF41C4">
      <w:pPr>
        <w:numPr>
          <w:ilvl w:val="0"/>
          <w:numId w:val="9"/>
        </w:numPr>
        <w:spacing w:before="240"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zapobiegania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Threat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F41C4">
        <w:rPr>
          <w:rFonts w:asciiTheme="minorHAnsi" w:hAnsiTheme="minorHAnsi" w:cstheme="minorHAnsi"/>
          <w:szCs w:val="24"/>
        </w:rPr>
        <w:t>prevention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</w:t>
      </w:r>
      <w:r w:rsidR="002647D3">
        <w:rPr>
          <w:rFonts w:asciiTheme="minorHAnsi" w:hAnsiTheme="minorHAnsi" w:cstheme="minorHAnsi"/>
          <w:szCs w:val="24"/>
        </w:rPr>
        <w:t>3220</w:t>
      </w:r>
      <w:r w:rsidRPr="00AF41C4">
        <w:rPr>
          <w:rFonts w:asciiTheme="minorHAnsi" w:hAnsiTheme="minorHAnsi" w:cstheme="minorHAnsi"/>
          <w:szCs w:val="24"/>
        </w:rPr>
        <w:t xml:space="preserve">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odnowienie subskrypcji filtrowania adresów internetowych (URL </w:t>
      </w:r>
      <w:proofErr w:type="spellStart"/>
      <w:r w:rsidRPr="00AF41C4">
        <w:rPr>
          <w:rFonts w:asciiTheme="minorHAnsi" w:hAnsiTheme="minorHAnsi" w:cstheme="minorHAnsi"/>
          <w:szCs w:val="24"/>
        </w:rPr>
        <w:t>filtering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with PANDB) dla urządzenia PA-</w:t>
      </w:r>
      <w:r w:rsidR="002647D3">
        <w:rPr>
          <w:rFonts w:asciiTheme="minorHAnsi" w:hAnsiTheme="minorHAnsi" w:cstheme="minorHAnsi"/>
          <w:szCs w:val="24"/>
        </w:rPr>
        <w:t>3220</w:t>
      </w:r>
      <w:r w:rsidRPr="00AF41C4">
        <w:rPr>
          <w:rFonts w:asciiTheme="minorHAnsi" w:hAnsiTheme="minorHAnsi" w:cstheme="minorHAnsi"/>
          <w:szCs w:val="24"/>
        </w:rPr>
        <w:t xml:space="preserve">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wczesnego wykrywania analizy nieznanych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WildFire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</w:t>
      </w:r>
      <w:r w:rsidR="002647D3">
        <w:rPr>
          <w:rFonts w:asciiTheme="minorHAnsi" w:hAnsiTheme="minorHAnsi" w:cstheme="minorHAnsi"/>
          <w:szCs w:val="24"/>
        </w:rPr>
        <w:t>3220</w:t>
      </w:r>
      <w:r w:rsidRPr="00AF41C4">
        <w:rPr>
          <w:rFonts w:asciiTheme="minorHAnsi" w:hAnsiTheme="minorHAnsi" w:cstheme="minorHAnsi"/>
          <w:szCs w:val="24"/>
        </w:rPr>
        <w:t xml:space="preserve">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wsparcia technicznego, gwarancji i serwisu opartego na usługach serwisowych producenta ww. sprzętu (Partner Premium Support) dla urządzenia PA-</w:t>
      </w:r>
      <w:r w:rsidR="002647D3">
        <w:rPr>
          <w:rFonts w:asciiTheme="minorHAnsi" w:hAnsiTheme="minorHAnsi" w:cstheme="minorHAnsi"/>
          <w:szCs w:val="24"/>
        </w:rPr>
        <w:t>3220</w:t>
      </w:r>
      <w:r w:rsidRPr="00AF41C4">
        <w:rPr>
          <w:rFonts w:asciiTheme="minorHAnsi" w:hAnsiTheme="minorHAnsi" w:cstheme="minorHAnsi"/>
          <w:szCs w:val="24"/>
        </w:rPr>
        <w:t xml:space="preserve"> przez okres trzech lat od dnia wygaśnięcia aktualnie obowiązującego wsparcia.</w:t>
      </w:r>
    </w:p>
    <w:p w:rsidR="001073F0" w:rsidRPr="00AF41C4" w:rsidRDefault="001073F0" w:rsidP="00AF41C4">
      <w:pPr>
        <w:spacing w:after="240" w:line="360" w:lineRule="auto"/>
        <w:ind w:left="851" w:hanging="142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lastRenderedPageBreak/>
        <w:t xml:space="preserve">2) przedłużenie subskrypcji oraz usługi wsparcia dla urządzenia </w:t>
      </w:r>
      <w:proofErr w:type="spellStart"/>
      <w:r w:rsidRPr="00AF41C4">
        <w:rPr>
          <w:rFonts w:asciiTheme="minorHAnsi" w:hAnsiTheme="minorHAnsi" w:cstheme="minorHAnsi"/>
          <w:szCs w:val="24"/>
        </w:rPr>
        <w:t>PaloAlto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r w:rsidR="002647D3">
        <w:rPr>
          <w:rFonts w:asciiTheme="minorHAnsi" w:hAnsiTheme="minorHAnsi" w:cstheme="minorHAnsi"/>
          <w:szCs w:val="24"/>
        </w:rPr>
        <w:t>3020</w:t>
      </w:r>
      <w:r w:rsidRPr="00AF41C4">
        <w:rPr>
          <w:rFonts w:asciiTheme="minorHAnsi" w:hAnsiTheme="minorHAnsi" w:cstheme="minorHAnsi"/>
          <w:szCs w:val="24"/>
        </w:rPr>
        <w:t xml:space="preserve"> na </w:t>
      </w:r>
      <w:r w:rsidRPr="00862ECE">
        <w:rPr>
          <w:rFonts w:asciiTheme="minorHAnsi" w:hAnsiTheme="minorHAnsi" w:cstheme="minorHAnsi"/>
          <w:szCs w:val="24"/>
        </w:rPr>
        <w:t xml:space="preserve">okres </w:t>
      </w:r>
      <w:r w:rsidR="002647D3" w:rsidRPr="00862ECE">
        <w:rPr>
          <w:rFonts w:asciiTheme="minorHAnsi" w:hAnsiTheme="minorHAnsi" w:cstheme="minorHAnsi"/>
          <w:szCs w:val="24"/>
        </w:rPr>
        <w:t xml:space="preserve">12 miesięcy lub końca jego życia wg </w:t>
      </w:r>
      <w:r w:rsidR="00862ECE" w:rsidRPr="00862ECE">
        <w:rPr>
          <w:rFonts w:asciiTheme="minorHAnsi" w:hAnsiTheme="minorHAnsi" w:cstheme="minorHAnsi"/>
          <w:szCs w:val="24"/>
        </w:rPr>
        <w:t xml:space="preserve">danych </w:t>
      </w:r>
      <w:r w:rsidR="002647D3" w:rsidRPr="00862ECE">
        <w:rPr>
          <w:rFonts w:asciiTheme="minorHAnsi" w:hAnsiTheme="minorHAnsi" w:cstheme="minorHAnsi"/>
          <w:szCs w:val="24"/>
        </w:rPr>
        <w:t>producenta</w:t>
      </w:r>
      <w:r w:rsidRPr="00862ECE">
        <w:rPr>
          <w:rFonts w:asciiTheme="minorHAnsi" w:hAnsiTheme="minorHAnsi" w:cstheme="minorHAnsi"/>
          <w:szCs w:val="24"/>
        </w:rPr>
        <w:t xml:space="preserve"> od dnia wygaśnięcia aktualnie</w:t>
      </w:r>
      <w:r w:rsidRPr="00AF41C4">
        <w:rPr>
          <w:rFonts w:asciiTheme="minorHAnsi" w:hAnsiTheme="minorHAnsi" w:cstheme="minorHAnsi"/>
          <w:szCs w:val="24"/>
        </w:rPr>
        <w:t xml:space="preserve"> obowiązującego wsparcia.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1417"/>
        <w:gridCol w:w="1701"/>
        <w:gridCol w:w="2126"/>
      </w:tblGrid>
      <w:tr w:rsidR="001073F0" w:rsidRPr="00AF41C4" w:rsidTr="005C618C">
        <w:trPr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Jednostka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Numer seryjny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Wsparcie ważne do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 xml:space="preserve">Sąd Rejonowy w </w:t>
            </w:r>
            <w:r w:rsidR="002647D3">
              <w:rPr>
                <w:rFonts w:asciiTheme="minorHAnsi" w:eastAsia="Calibri" w:hAnsiTheme="minorHAnsi" w:cstheme="minorHAnsi"/>
                <w:szCs w:val="24"/>
              </w:rPr>
              <w:t>Białymstoku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</w:t>
            </w:r>
            <w:r w:rsidR="002647D3">
              <w:rPr>
                <w:rFonts w:asciiTheme="minorHAnsi" w:eastAsia="Calibri" w:hAnsiTheme="minorHAnsi" w:cstheme="minorHAnsi"/>
                <w:szCs w:val="24"/>
              </w:rPr>
              <w:t>30</w:t>
            </w:r>
            <w:r w:rsidRPr="00AF41C4">
              <w:rPr>
                <w:rFonts w:asciiTheme="minorHAnsi" w:eastAsia="Calibri" w:hAnsiTheme="minorHAnsi" w:cstheme="minorHAnsi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</w:t>
            </w:r>
            <w:r w:rsidR="00862ECE">
              <w:rPr>
                <w:rFonts w:asciiTheme="minorHAnsi" w:eastAsia="Calibri" w:hAnsiTheme="minorHAnsi" w:cstheme="minorHAnsi"/>
                <w:szCs w:val="24"/>
              </w:rPr>
              <w:t>01801016105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</w:t>
            </w:r>
            <w:r w:rsidR="00862ECE">
              <w:rPr>
                <w:rFonts w:asciiTheme="minorHAnsi" w:eastAsia="Calibri" w:hAnsiTheme="minorHAnsi" w:cstheme="minorHAnsi"/>
                <w:szCs w:val="24"/>
              </w:rPr>
              <w:t>0</w:t>
            </w:r>
            <w:r w:rsidRPr="00AF41C4">
              <w:rPr>
                <w:rFonts w:asciiTheme="minorHAnsi" w:eastAsia="Calibri" w:hAnsiTheme="minorHAnsi" w:cstheme="minorHAnsi"/>
                <w:szCs w:val="24"/>
              </w:rPr>
              <w:t>.12.202</w:t>
            </w:r>
            <w:r w:rsidR="00862ECE">
              <w:rPr>
                <w:rFonts w:asciiTheme="minorHAnsi" w:eastAsia="Calibri" w:hAnsiTheme="minorHAnsi" w:cstheme="minorHAnsi"/>
                <w:szCs w:val="24"/>
              </w:rPr>
              <w:t>3</w:t>
            </w:r>
          </w:p>
        </w:tc>
      </w:tr>
    </w:tbl>
    <w:p w:rsidR="001073F0" w:rsidRPr="00AF41C4" w:rsidRDefault="001073F0" w:rsidP="00AF41C4">
      <w:pPr>
        <w:numPr>
          <w:ilvl w:val="0"/>
          <w:numId w:val="9"/>
        </w:numPr>
        <w:spacing w:before="360" w:line="360" w:lineRule="auto"/>
        <w:ind w:left="1135" w:hanging="28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zapobiegania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Threat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F41C4">
        <w:rPr>
          <w:rFonts w:asciiTheme="minorHAnsi" w:hAnsiTheme="minorHAnsi" w:cstheme="minorHAnsi"/>
          <w:szCs w:val="24"/>
        </w:rPr>
        <w:t>prevention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</w:t>
      </w:r>
      <w:r w:rsidR="00862ECE">
        <w:rPr>
          <w:rFonts w:asciiTheme="minorHAnsi" w:hAnsiTheme="minorHAnsi" w:cstheme="minorHAnsi"/>
          <w:szCs w:val="24"/>
        </w:rPr>
        <w:t>30</w:t>
      </w:r>
      <w:r w:rsidRPr="00AF41C4">
        <w:rPr>
          <w:rFonts w:asciiTheme="minorHAnsi" w:hAnsiTheme="minorHAnsi" w:cstheme="minorHAnsi"/>
          <w:szCs w:val="24"/>
        </w:rPr>
        <w:t xml:space="preserve">20 przez </w:t>
      </w:r>
      <w:r w:rsidR="00862ECE" w:rsidRPr="00862ECE">
        <w:rPr>
          <w:rFonts w:asciiTheme="minorHAnsi" w:hAnsiTheme="minorHAnsi" w:cstheme="minorHAnsi"/>
          <w:szCs w:val="24"/>
        </w:rPr>
        <w:t>okres 12 miesięcy lub końca jego życia wg danych producenta</w:t>
      </w:r>
      <w:r w:rsidRPr="00AF41C4">
        <w:rPr>
          <w:rFonts w:asciiTheme="minorHAnsi" w:hAnsiTheme="minorHAnsi" w:cstheme="minorHAnsi"/>
          <w:szCs w:val="24"/>
        </w:rPr>
        <w:t xml:space="preserve">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 w:hanging="283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odnowienie subskrypcji filtrowania adresów internetowych (URL </w:t>
      </w:r>
      <w:proofErr w:type="spellStart"/>
      <w:r w:rsidRPr="00AF41C4">
        <w:rPr>
          <w:rFonts w:asciiTheme="minorHAnsi" w:hAnsiTheme="minorHAnsi" w:cstheme="minorHAnsi"/>
          <w:szCs w:val="24"/>
        </w:rPr>
        <w:t>filtering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with PANDB) dla urządzenia PA-</w:t>
      </w:r>
      <w:r w:rsidR="00862ECE">
        <w:rPr>
          <w:rFonts w:asciiTheme="minorHAnsi" w:hAnsiTheme="minorHAnsi" w:cstheme="minorHAnsi"/>
          <w:szCs w:val="24"/>
        </w:rPr>
        <w:t>30</w:t>
      </w:r>
      <w:r w:rsidRPr="00AF41C4">
        <w:rPr>
          <w:rFonts w:asciiTheme="minorHAnsi" w:hAnsiTheme="minorHAnsi" w:cstheme="minorHAnsi"/>
          <w:szCs w:val="24"/>
        </w:rPr>
        <w:t xml:space="preserve">20 przez </w:t>
      </w:r>
      <w:r w:rsidR="00862ECE" w:rsidRPr="00862ECE">
        <w:rPr>
          <w:rFonts w:asciiTheme="minorHAnsi" w:hAnsiTheme="minorHAnsi" w:cstheme="minorHAnsi"/>
          <w:szCs w:val="24"/>
        </w:rPr>
        <w:t>okres 12 miesięcy lub końca jego życia wg danych producenta</w:t>
      </w:r>
      <w:r w:rsidRPr="00AF41C4">
        <w:rPr>
          <w:rFonts w:asciiTheme="minorHAnsi" w:hAnsiTheme="minorHAnsi" w:cstheme="minorHAnsi"/>
          <w:szCs w:val="24"/>
        </w:rPr>
        <w:t xml:space="preserve">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 w:hanging="283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wczesnego wykrywania analizy nieznanych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WildFire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</w:t>
      </w:r>
      <w:r w:rsidR="00862ECE">
        <w:rPr>
          <w:rFonts w:asciiTheme="minorHAnsi" w:hAnsiTheme="minorHAnsi" w:cstheme="minorHAnsi"/>
          <w:szCs w:val="24"/>
        </w:rPr>
        <w:t>30</w:t>
      </w:r>
      <w:r w:rsidRPr="00AF41C4">
        <w:rPr>
          <w:rFonts w:asciiTheme="minorHAnsi" w:hAnsiTheme="minorHAnsi" w:cstheme="minorHAnsi"/>
          <w:szCs w:val="24"/>
        </w:rPr>
        <w:t xml:space="preserve">20 przez </w:t>
      </w:r>
      <w:r w:rsidR="00862ECE" w:rsidRPr="00862ECE">
        <w:rPr>
          <w:rFonts w:asciiTheme="minorHAnsi" w:hAnsiTheme="minorHAnsi" w:cstheme="minorHAnsi"/>
          <w:szCs w:val="24"/>
        </w:rPr>
        <w:t>okres 12 miesięcy lub końca jego życia wg danych producenta</w:t>
      </w:r>
      <w:r w:rsidRPr="00AF41C4">
        <w:rPr>
          <w:rFonts w:asciiTheme="minorHAnsi" w:hAnsiTheme="minorHAnsi" w:cstheme="minorHAnsi"/>
          <w:szCs w:val="24"/>
        </w:rPr>
        <w:t xml:space="preserve">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 w:hanging="283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wsparcia technicznego, gwarancji i serwisu opartego na usługach serwisowych producenta ww. sprzętu (Partner Premium Support) dla urządzenia PA-</w:t>
      </w:r>
      <w:r w:rsidR="00862ECE">
        <w:rPr>
          <w:rFonts w:asciiTheme="minorHAnsi" w:hAnsiTheme="minorHAnsi" w:cstheme="minorHAnsi"/>
          <w:szCs w:val="24"/>
        </w:rPr>
        <w:t>30</w:t>
      </w:r>
      <w:r w:rsidRPr="00AF41C4">
        <w:rPr>
          <w:rFonts w:asciiTheme="minorHAnsi" w:hAnsiTheme="minorHAnsi" w:cstheme="minorHAnsi"/>
          <w:szCs w:val="24"/>
        </w:rPr>
        <w:t xml:space="preserve">20 </w:t>
      </w:r>
      <w:r w:rsidR="00862ECE" w:rsidRPr="00862ECE">
        <w:rPr>
          <w:rFonts w:asciiTheme="minorHAnsi" w:hAnsiTheme="minorHAnsi" w:cstheme="minorHAnsi"/>
          <w:szCs w:val="24"/>
        </w:rPr>
        <w:t>okres 12 miesięcy lub końca jego życia wg danych producenta</w:t>
      </w:r>
      <w:r w:rsidR="00862ECE" w:rsidRPr="00AF41C4">
        <w:rPr>
          <w:rFonts w:asciiTheme="minorHAnsi" w:hAnsiTheme="minorHAnsi" w:cstheme="minorHAnsi"/>
          <w:szCs w:val="24"/>
        </w:rPr>
        <w:t xml:space="preserve"> </w:t>
      </w:r>
      <w:bookmarkStart w:id="0" w:name="_GoBack"/>
      <w:bookmarkEnd w:id="0"/>
      <w:r w:rsidRPr="00AF41C4">
        <w:rPr>
          <w:rFonts w:asciiTheme="minorHAnsi" w:hAnsiTheme="minorHAnsi" w:cstheme="minorHAnsi"/>
          <w:szCs w:val="24"/>
        </w:rPr>
        <w:t>od dnia wygaśnięcia aktualnie obowiązującego wsparcia.</w:t>
      </w:r>
    </w:p>
    <w:p w:rsidR="001073F0" w:rsidRPr="00AF41C4" w:rsidRDefault="001073F0" w:rsidP="00AE3C16">
      <w:pPr>
        <w:spacing w:before="240" w:line="360" w:lineRule="auto"/>
        <w:rPr>
          <w:rFonts w:asciiTheme="minorHAnsi" w:hAnsiTheme="minorHAnsi" w:cstheme="minorHAnsi"/>
          <w:b/>
          <w:szCs w:val="24"/>
          <w:u w:val="single"/>
        </w:rPr>
      </w:pPr>
      <w:r w:rsidRPr="00AF41C4">
        <w:rPr>
          <w:rFonts w:asciiTheme="minorHAnsi" w:hAnsiTheme="minorHAnsi" w:cstheme="minorHAnsi"/>
          <w:b/>
          <w:szCs w:val="24"/>
          <w:u w:val="single"/>
        </w:rPr>
        <w:t>Dodatkowe wymagania do całego (wszystkich części) przedmiotu zamówienia.</w:t>
      </w:r>
    </w:p>
    <w:p w:rsidR="001073F0" w:rsidRPr="00AF41C4" w:rsidRDefault="001073F0" w:rsidP="00AF41C4">
      <w:pPr>
        <w:spacing w:line="360" w:lineRule="auto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W ramach wsparcia, o którym mowa w pkt. 1-2 opisu przedmiotu zamówienia Zamawiającemu zostanie zapewnione wsparcie przez autoryzowanego, certyfikowanego przez producenta partnera rozwiązania. Incydenty wymagające interwencji serwisowych Zamawiający będzie mógł zgłosić telefonicznie, drogą mailową lub przez system zgłoszeń (</w:t>
      </w:r>
      <w:proofErr w:type="spellStart"/>
      <w:r w:rsidRPr="00AF41C4">
        <w:rPr>
          <w:rFonts w:asciiTheme="minorHAnsi" w:hAnsiTheme="minorHAnsi" w:cstheme="minorHAnsi"/>
          <w:szCs w:val="24"/>
        </w:rPr>
        <w:t>servicedesk</w:t>
      </w:r>
      <w:proofErr w:type="spellEnd"/>
      <w:r w:rsidRPr="00AF41C4">
        <w:rPr>
          <w:rFonts w:asciiTheme="minorHAnsi" w:hAnsiTheme="minorHAnsi" w:cstheme="minorHAnsi"/>
          <w:szCs w:val="24"/>
        </w:rPr>
        <w:t>) Wykonawcy lub Producenta. Zamawiający otrzyma możliwość korzystania z następujących usług świadczonych przez producenta: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aktualizacji oprogramowania </w:t>
      </w:r>
      <w:proofErr w:type="spellStart"/>
      <w:r w:rsidRPr="00AF41C4">
        <w:rPr>
          <w:rFonts w:asciiTheme="minorHAnsi" w:hAnsiTheme="minorHAnsi" w:cstheme="minorHAnsi"/>
          <w:szCs w:val="24"/>
        </w:rPr>
        <w:t>firmware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do najnowszych wersji publikowanych przez producenta,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aktualizacji bazy wirusów,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aktualizacji bazy definicji IPS (</w:t>
      </w:r>
      <w:proofErr w:type="spellStart"/>
      <w:r w:rsidRPr="00AF41C4">
        <w:rPr>
          <w:rFonts w:asciiTheme="minorHAnsi" w:hAnsiTheme="minorHAnsi" w:cstheme="minorHAnsi"/>
          <w:szCs w:val="24"/>
        </w:rPr>
        <w:t>Intrusion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F41C4">
        <w:rPr>
          <w:rFonts w:asciiTheme="minorHAnsi" w:hAnsiTheme="minorHAnsi" w:cstheme="minorHAnsi"/>
          <w:szCs w:val="24"/>
        </w:rPr>
        <w:t>Prevention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System),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lastRenderedPageBreak/>
        <w:t>aktualizacji bazy sygnatur anty-spyware,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aktualizacji sygnatur aplikacji,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aktualizacja sygnatur oraz dostęp do środowiska </w:t>
      </w:r>
      <w:proofErr w:type="spellStart"/>
      <w:r w:rsidRPr="00AF41C4">
        <w:rPr>
          <w:rFonts w:asciiTheme="minorHAnsi" w:hAnsiTheme="minorHAnsi" w:cstheme="minorHAnsi"/>
          <w:szCs w:val="24"/>
        </w:rPr>
        <w:t>Wildfire</w:t>
      </w:r>
      <w:proofErr w:type="spellEnd"/>
      <w:r w:rsidRPr="00AF41C4">
        <w:rPr>
          <w:rFonts w:asciiTheme="minorHAnsi" w:hAnsiTheme="minorHAnsi" w:cstheme="minorHAnsi"/>
          <w:szCs w:val="24"/>
        </w:rPr>
        <w:t>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dostępu do baz wiedzy, dokumentacji technicznych, przewodników konfiguracyjnych i narzędzi diagnostycznych.</w:t>
      </w:r>
    </w:p>
    <w:sectPr w:rsidR="001073F0" w:rsidRPr="00AF41C4" w:rsidSect="00A50BC4"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17B" w:rsidRDefault="008A317B" w:rsidP="00CE5B24">
      <w:r>
        <w:separator/>
      </w:r>
    </w:p>
  </w:endnote>
  <w:endnote w:type="continuationSeparator" w:id="0">
    <w:p w:rsidR="008A317B" w:rsidRDefault="008A317B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17B" w:rsidRDefault="008A317B" w:rsidP="00CE5B24">
      <w:r>
        <w:separator/>
      </w:r>
    </w:p>
  </w:footnote>
  <w:footnote w:type="continuationSeparator" w:id="0">
    <w:p w:rsidR="008A317B" w:rsidRDefault="008A317B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D6C6F308"/>
    <w:lvl w:ilvl="0">
      <w:start w:val="1"/>
      <w:numFmt w:val="decimal"/>
      <w:lvlText w:val="%1)"/>
      <w:lvlJc w:val="left"/>
      <w:pPr>
        <w:ind w:left="851" w:hanging="491"/>
      </w:pPr>
    </w:lvl>
    <w:lvl w:ilvl="1">
      <w:start w:val="2"/>
      <w:numFmt w:val="decimal"/>
      <w:isLgl/>
      <w:lvlText w:val="%1.%2."/>
      <w:lvlJc w:val="left"/>
      <w:pPr>
        <w:ind w:left="855" w:hanging="49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33164EE"/>
    <w:multiLevelType w:val="hybridMultilevel"/>
    <w:tmpl w:val="79B6C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B04BF"/>
    <w:multiLevelType w:val="hybridMultilevel"/>
    <w:tmpl w:val="7CE4A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218E5"/>
    <w:multiLevelType w:val="hybridMultilevel"/>
    <w:tmpl w:val="46D6D614"/>
    <w:lvl w:ilvl="0" w:tplc="C6F8B74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91530"/>
    <w:multiLevelType w:val="multilevel"/>
    <w:tmpl w:val="F79A8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0473E"/>
    <w:multiLevelType w:val="hybridMultilevel"/>
    <w:tmpl w:val="A2DC4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B3CCE"/>
    <w:multiLevelType w:val="hybridMultilevel"/>
    <w:tmpl w:val="55ECC05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172E6"/>
    <w:multiLevelType w:val="hybridMultilevel"/>
    <w:tmpl w:val="51605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03701"/>
    <w:multiLevelType w:val="multilevel"/>
    <w:tmpl w:val="AB6E1D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624CA0"/>
    <w:multiLevelType w:val="hybridMultilevel"/>
    <w:tmpl w:val="D1DC6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D645FA"/>
    <w:multiLevelType w:val="hybridMultilevel"/>
    <w:tmpl w:val="B1BE3D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3E33"/>
    <w:rsid w:val="000A503A"/>
    <w:rsid w:val="000D2AFD"/>
    <w:rsid w:val="001073F0"/>
    <w:rsid w:val="00111EE2"/>
    <w:rsid w:val="0011625F"/>
    <w:rsid w:val="00163420"/>
    <w:rsid w:val="00184CFC"/>
    <w:rsid w:val="001B086F"/>
    <w:rsid w:val="001D16F1"/>
    <w:rsid w:val="001E0E45"/>
    <w:rsid w:val="002476DA"/>
    <w:rsid w:val="002647D3"/>
    <w:rsid w:val="0031233C"/>
    <w:rsid w:val="00312864"/>
    <w:rsid w:val="00327F44"/>
    <w:rsid w:val="00364C7E"/>
    <w:rsid w:val="003751C7"/>
    <w:rsid w:val="00382668"/>
    <w:rsid w:val="003B7EEF"/>
    <w:rsid w:val="003D2F6C"/>
    <w:rsid w:val="004073C1"/>
    <w:rsid w:val="00425406"/>
    <w:rsid w:val="00451896"/>
    <w:rsid w:val="0045715E"/>
    <w:rsid w:val="004712F5"/>
    <w:rsid w:val="004742F9"/>
    <w:rsid w:val="004C05C7"/>
    <w:rsid w:val="004C4FE4"/>
    <w:rsid w:val="0051031D"/>
    <w:rsid w:val="005A5730"/>
    <w:rsid w:val="005C618C"/>
    <w:rsid w:val="005F3934"/>
    <w:rsid w:val="00642703"/>
    <w:rsid w:val="00645567"/>
    <w:rsid w:val="0069140E"/>
    <w:rsid w:val="006A4D96"/>
    <w:rsid w:val="006C072E"/>
    <w:rsid w:val="007153CD"/>
    <w:rsid w:val="007646A4"/>
    <w:rsid w:val="007C08A9"/>
    <w:rsid w:val="007E4E11"/>
    <w:rsid w:val="00816CAB"/>
    <w:rsid w:val="00862ECE"/>
    <w:rsid w:val="00880E28"/>
    <w:rsid w:val="00885D02"/>
    <w:rsid w:val="008917FB"/>
    <w:rsid w:val="00894BFE"/>
    <w:rsid w:val="008A317B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3A78"/>
    <w:rsid w:val="009C380C"/>
    <w:rsid w:val="009D0444"/>
    <w:rsid w:val="00A26E84"/>
    <w:rsid w:val="00A305F8"/>
    <w:rsid w:val="00A50BC4"/>
    <w:rsid w:val="00AA36E4"/>
    <w:rsid w:val="00AD0908"/>
    <w:rsid w:val="00AD78D1"/>
    <w:rsid w:val="00AE3C16"/>
    <w:rsid w:val="00AF41C4"/>
    <w:rsid w:val="00B11D0B"/>
    <w:rsid w:val="00B133B9"/>
    <w:rsid w:val="00B669FC"/>
    <w:rsid w:val="00B73DBE"/>
    <w:rsid w:val="00B92AED"/>
    <w:rsid w:val="00C22904"/>
    <w:rsid w:val="00C24695"/>
    <w:rsid w:val="00C42FB0"/>
    <w:rsid w:val="00C87BF8"/>
    <w:rsid w:val="00CD2F25"/>
    <w:rsid w:val="00CE5B24"/>
    <w:rsid w:val="00D00741"/>
    <w:rsid w:val="00D40E99"/>
    <w:rsid w:val="00D743BD"/>
    <w:rsid w:val="00E563DC"/>
    <w:rsid w:val="00E6103C"/>
    <w:rsid w:val="00E63316"/>
    <w:rsid w:val="00E6570B"/>
    <w:rsid w:val="00EB1191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12024D"/>
  <w15:chartTrackingRefBased/>
  <w15:docId w15:val="{BF8512C4-7CA3-4644-972F-7DDF7961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paragraph" w:styleId="Akapitzlist">
    <w:name w:val="List Paragraph"/>
    <w:basedOn w:val="Normalny"/>
    <w:uiPriority w:val="34"/>
    <w:qFormat/>
    <w:rsid w:val="00A50BC4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A50BC4"/>
    <w:pPr>
      <w:widowControl w:val="0"/>
      <w:suppressAutoHyphens/>
    </w:pPr>
    <w:rPr>
      <w:rFonts w:eastAsia="SimSun" w:cs="Arial"/>
      <w:kern w:val="2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1073F0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9A36A-A61B-407A-B3A9-47FBA72C6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27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cp:keywords/>
  <cp:lastModifiedBy>Radosław Świsłocki</cp:lastModifiedBy>
  <cp:revision>2</cp:revision>
  <cp:lastPrinted>2021-01-05T08:45:00Z</cp:lastPrinted>
  <dcterms:created xsi:type="dcterms:W3CDTF">2022-09-21T07:04:00Z</dcterms:created>
  <dcterms:modified xsi:type="dcterms:W3CDTF">2023-08-31T07:45:00Z</dcterms:modified>
</cp:coreProperties>
</file>