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49175" w14:textId="3F62A87B"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Z</w:t>
      </w:r>
      <w:r w:rsidR="00CC0464" w:rsidRPr="00802469">
        <w:rPr>
          <w:rStyle w:val="Pogrubienie"/>
          <w:rFonts w:asciiTheme="minorHAnsi" w:hAnsiTheme="minorHAnsi" w:cstheme="minorHAnsi"/>
          <w:bCs w:val="0"/>
        </w:rPr>
        <w:t>arządzenie</w:t>
      </w:r>
      <w:r w:rsidRPr="00802469">
        <w:rPr>
          <w:rStyle w:val="Pogrubienie"/>
          <w:rFonts w:asciiTheme="minorHAnsi" w:hAnsiTheme="minorHAnsi" w:cstheme="minorHAnsi"/>
          <w:bCs w:val="0"/>
        </w:rPr>
        <w:t>  nr</w:t>
      </w:r>
      <w:r w:rsidR="00015EEF" w:rsidRPr="00802469">
        <w:rPr>
          <w:rStyle w:val="Pogrubienie"/>
          <w:rFonts w:asciiTheme="minorHAnsi" w:hAnsiTheme="minorHAnsi" w:cstheme="minorHAnsi"/>
          <w:bCs w:val="0"/>
        </w:rPr>
        <w:t xml:space="preserve"> A.0212.4.2023</w:t>
      </w:r>
      <w:r w:rsidRPr="00802469">
        <w:rPr>
          <w:rFonts w:asciiTheme="minorHAnsi" w:hAnsiTheme="minorHAnsi" w:cstheme="minorHAnsi"/>
        </w:rPr>
        <w:br/>
      </w:r>
      <w:r w:rsidRPr="00802469">
        <w:rPr>
          <w:rStyle w:val="Pogrubienie"/>
          <w:rFonts w:asciiTheme="minorHAnsi" w:hAnsiTheme="minorHAnsi" w:cstheme="minorHAnsi"/>
          <w:bCs w:val="0"/>
        </w:rPr>
        <w:t>Prezesa i Dyrektora Sądu Apelacyjnego</w:t>
      </w:r>
      <w:r w:rsidR="00802469">
        <w:rPr>
          <w:rFonts w:asciiTheme="minorHAnsi" w:hAnsiTheme="minorHAnsi" w:cstheme="minorHAnsi"/>
        </w:rPr>
        <w:t xml:space="preserve"> </w:t>
      </w:r>
      <w:r w:rsidRPr="00802469">
        <w:rPr>
          <w:rStyle w:val="Pogrubienie"/>
          <w:rFonts w:asciiTheme="minorHAnsi" w:hAnsiTheme="minorHAnsi" w:cstheme="minorHAnsi"/>
          <w:bCs w:val="0"/>
        </w:rPr>
        <w:t xml:space="preserve">w </w:t>
      </w:r>
      <w:r w:rsidR="00E946C3" w:rsidRPr="00802469">
        <w:rPr>
          <w:rStyle w:val="Pogrubienie"/>
          <w:rFonts w:asciiTheme="minorHAnsi" w:hAnsiTheme="minorHAnsi" w:cstheme="minorHAnsi"/>
          <w:bCs w:val="0"/>
        </w:rPr>
        <w:t>Białymstoku</w:t>
      </w:r>
      <w:r w:rsidR="00802469">
        <w:rPr>
          <w:rFonts w:asciiTheme="minorHAnsi" w:hAnsiTheme="minorHAnsi" w:cstheme="minorHAnsi"/>
        </w:rPr>
        <w:t xml:space="preserve"> </w:t>
      </w:r>
      <w:r w:rsidRPr="00802469">
        <w:rPr>
          <w:rStyle w:val="Pogrubienie"/>
          <w:rFonts w:asciiTheme="minorHAnsi" w:hAnsiTheme="minorHAnsi" w:cstheme="minorHAnsi"/>
          <w:bCs w:val="0"/>
        </w:rPr>
        <w:t>z dnia</w:t>
      </w:r>
      <w:r w:rsidR="00015EEF" w:rsidRPr="00802469">
        <w:rPr>
          <w:rStyle w:val="Pogrubienie"/>
          <w:rFonts w:asciiTheme="minorHAnsi" w:hAnsiTheme="minorHAnsi" w:cstheme="minorHAnsi"/>
          <w:bCs w:val="0"/>
        </w:rPr>
        <w:t xml:space="preserve"> 18 stycznia 2023 r. </w:t>
      </w:r>
      <w:r w:rsidRPr="00802469">
        <w:rPr>
          <w:rStyle w:val="Pogrubienie"/>
          <w:rFonts w:asciiTheme="minorHAnsi" w:hAnsiTheme="minorHAnsi" w:cstheme="minorHAnsi"/>
          <w:bCs w:val="0"/>
        </w:rPr>
        <w:t>w sprawie</w:t>
      </w:r>
      <w:r w:rsidR="00802469">
        <w:rPr>
          <w:rStyle w:val="Pogrubienie"/>
          <w:rFonts w:asciiTheme="minorHAnsi" w:hAnsiTheme="minorHAnsi" w:cstheme="minorHAnsi"/>
          <w:bCs w:val="0"/>
        </w:rPr>
        <w:t xml:space="preserve"> </w:t>
      </w:r>
      <w:r w:rsidR="00CC0464" w:rsidRPr="00802469">
        <w:rPr>
          <w:rStyle w:val="Pogrubienie"/>
          <w:rFonts w:asciiTheme="minorHAnsi" w:hAnsiTheme="minorHAnsi" w:cstheme="minorHAnsi"/>
          <w:bCs w:val="0"/>
        </w:rPr>
        <w:t>Zasad bezpieczeństwa i porządku w Sądzie Apelacyjnym w Białymstoku</w:t>
      </w:r>
    </w:p>
    <w:p w14:paraId="555D2E5D" w14:textId="44C45825"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t>Na podstawie art. 22 § 1 pkt 1) lit. a) w zw. z art. 54 § 2 i art. 31a § 1 pkt 1) ustawy z dnia 27 lipca 2001 r. – Prawo o ustroju sądów powszechnych oraz § 30 ust. 1 pkt 6) i § 31 ust. 2 pkt 3) Rozporządzenia Ministra Sprawiedliwości z dnia 18 czerwca 2019 r. -   Regulamin urzędowania sądów powszechnych zarządza się, co następuje:</w:t>
      </w:r>
    </w:p>
    <w:p w14:paraId="512B2733" w14:textId="77777777" w:rsidR="00802469" w:rsidRDefault="00802469" w:rsidP="00802469">
      <w:pPr>
        <w:pStyle w:val="NormalnyWeb"/>
        <w:shd w:val="clear" w:color="auto" w:fill="FFFFFF"/>
        <w:spacing w:before="0" w:beforeAutospacing="0" w:after="150" w:afterAutospacing="0"/>
        <w:rPr>
          <w:rStyle w:val="Pogrubienie"/>
          <w:rFonts w:asciiTheme="minorHAnsi" w:hAnsiTheme="minorHAnsi" w:cstheme="minorHAnsi"/>
          <w:bCs w:val="0"/>
        </w:rPr>
      </w:pPr>
    </w:p>
    <w:p w14:paraId="72C87F19" w14:textId="6CF6BFDB"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1</w:t>
      </w:r>
    </w:p>
    <w:p w14:paraId="10C0CFB5" w14:textId="1E35F86D"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xml:space="preserve">Zarządzenie określa normy bezpieczeństwa i porządku oraz reguły zachowania na terenie Sądu Apelacyjnego w </w:t>
      </w:r>
      <w:r w:rsidR="00E946C3" w:rsidRPr="00802469">
        <w:rPr>
          <w:rFonts w:asciiTheme="minorHAnsi" w:hAnsiTheme="minorHAnsi" w:cstheme="minorHAnsi"/>
        </w:rPr>
        <w:t>Białymstoku</w:t>
      </w:r>
      <w:r w:rsidRPr="00802469">
        <w:rPr>
          <w:rFonts w:asciiTheme="minorHAnsi" w:hAnsiTheme="minorHAnsi" w:cstheme="minorHAnsi"/>
        </w:rPr>
        <w:t xml:space="preserve"> </w:t>
      </w:r>
      <w:r w:rsidR="00DD5F0C" w:rsidRPr="00802469">
        <w:rPr>
          <w:rFonts w:asciiTheme="minorHAnsi" w:hAnsiTheme="minorHAnsi" w:cstheme="minorHAnsi"/>
        </w:rPr>
        <w:t xml:space="preserve">zlokalizowanego </w:t>
      </w:r>
      <w:r w:rsidRPr="00802469">
        <w:rPr>
          <w:rFonts w:asciiTheme="minorHAnsi" w:hAnsiTheme="minorHAnsi" w:cstheme="minorHAnsi"/>
        </w:rPr>
        <w:t xml:space="preserve">przy ul. </w:t>
      </w:r>
      <w:r w:rsidR="00E946C3" w:rsidRPr="00802469">
        <w:rPr>
          <w:rFonts w:asciiTheme="minorHAnsi" w:hAnsiTheme="minorHAnsi" w:cstheme="minorHAnsi"/>
        </w:rPr>
        <w:t>Mickiewicza 5, 15-213 Białystok.</w:t>
      </w:r>
    </w:p>
    <w:p w14:paraId="3604B093" w14:textId="77777777" w:rsidR="00802469" w:rsidRDefault="00802469" w:rsidP="00802469">
      <w:pPr>
        <w:pStyle w:val="NormalnyWeb"/>
        <w:shd w:val="clear" w:color="auto" w:fill="FFFFFF"/>
        <w:spacing w:before="0" w:beforeAutospacing="0" w:after="150" w:afterAutospacing="0"/>
        <w:rPr>
          <w:rStyle w:val="Pogrubienie"/>
          <w:rFonts w:asciiTheme="minorHAnsi" w:hAnsiTheme="minorHAnsi" w:cstheme="minorHAnsi"/>
          <w:bCs w:val="0"/>
        </w:rPr>
      </w:pPr>
    </w:p>
    <w:p w14:paraId="4FECFC57" w14:textId="0DA60B1B"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2</w:t>
      </w:r>
    </w:p>
    <w:p w14:paraId="4C8702BD" w14:textId="46E6570B" w:rsidR="00E946C3"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Ilekroć w Zarządzeniu jest mowa o:</w:t>
      </w:r>
    </w:p>
    <w:p w14:paraId="7CC51CB3" w14:textId="711879D5" w:rsidR="00A46EAF"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Sądzie</w:t>
      </w:r>
      <w:r w:rsidRPr="00802469">
        <w:rPr>
          <w:rFonts w:asciiTheme="minorHAnsi" w:hAnsiTheme="minorHAnsi" w:cstheme="minorHAnsi"/>
        </w:rPr>
        <w:t xml:space="preserve"> - należy przez to rozumieć budyn</w:t>
      </w:r>
      <w:r w:rsidR="008F3C2E" w:rsidRPr="00802469">
        <w:rPr>
          <w:rFonts w:asciiTheme="minorHAnsi" w:hAnsiTheme="minorHAnsi" w:cstheme="minorHAnsi"/>
        </w:rPr>
        <w:t>ek</w:t>
      </w:r>
      <w:r w:rsidRPr="00802469">
        <w:rPr>
          <w:rFonts w:asciiTheme="minorHAnsi" w:hAnsiTheme="minorHAnsi" w:cstheme="minorHAnsi"/>
        </w:rPr>
        <w:t xml:space="preserve"> i teren </w:t>
      </w:r>
      <w:r w:rsidR="00DD5F0C" w:rsidRPr="00802469">
        <w:rPr>
          <w:rFonts w:asciiTheme="minorHAnsi" w:hAnsiTheme="minorHAnsi" w:cstheme="minorHAnsi"/>
        </w:rPr>
        <w:t>Sądu Apelacyjnego w Białymstoku</w:t>
      </w:r>
      <w:r w:rsidRPr="00802469">
        <w:rPr>
          <w:rFonts w:asciiTheme="minorHAnsi" w:hAnsiTheme="minorHAnsi" w:cstheme="minorHAnsi"/>
        </w:rPr>
        <w:t>;</w:t>
      </w:r>
    </w:p>
    <w:p w14:paraId="27A7E9E2" w14:textId="31DEC9B5" w:rsidR="00A46EAF"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Kierowni</w:t>
      </w:r>
      <w:r w:rsidR="00DD5F0C" w:rsidRPr="00802469">
        <w:rPr>
          <w:rFonts w:asciiTheme="minorHAnsi" w:hAnsiTheme="minorHAnsi" w:cstheme="minorHAnsi"/>
          <w:b/>
        </w:rPr>
        <w:t>ctw</w:t>
      </w:r>
      <w:r w:rsidR="000F1530" w:rsidRPr="00802469">
        <w:rPr>
          <w:rFonts w:asciiTheme="minorHAnsi" w:hAnsiTheme="minorHAnsi" w:cstheme="minorHAnsi"/>
          <w:b/>
        </w:rPr>
        <w:t>ie</w:t>
      </w:r>
      <w:r w:rsidRPr="00802469">
        <w:rPr>
          <w:rFonts w:asciiTheme="minorHAnsi" w:hAnsiTheme="minorHAnsi" w:cstheme="minorHAnsi"/>
          <w:b/>
        </w:rPr>
        <w:t xml:space="preserve"> </w:t>
      </w:r>
      <w:r w:rsidR="00DD5F0C" w:rsidRPr="00802469">
        <w:rPr>
          <w:rFonts w:asciiTheme="minorHAnsi" w:hAnsiTheme="minorHAnsi" w:cstheme="minorHAnsi"/>
          <w:b/>
        </w:rPr>
        <w:t>Sądu</w:t>
      </w:r>
      <w:r w:rsidRPr="00802469">
        <w:rPr>
          <w:rFonts w:asciiTheme="minorHAnsi" w:hAnsiTheme="minorHAnsi" w:cstheme="minorHAnsi"/>
        </w:rPr>
        <w:t>- należy przez to rozumieć Prezesa lub Dyrektora</w:t>
      </w:r>
      <w:r w:rsidR="00DD5F0C" w:rsidRPr="00802469">
        <w:rPr>
          <w:rFonts w:asciiTheme="minorHAnsi" w:hAnsiTheme="minorHAnsi" w:cstheme="minorHAnsi"/>
        </w:rPr>
        <w:t xml:space="preserve"> Sądu</w:t>
      </w:r>
      <w:r w:rsidRPr="00802469">
        <w:rPr>
          <w:rFonts w:asciiTheme="minorHAnsi" w:hAnsiTheme="minorHAnsi" w:cstheme="minorHAnsi"/>
        </w:rPr>
        <w:t>;</w:t>
      </w:r>
    </w:p>
    <w:p w14:paraId="3B5FF71F" w14:textId="1D61B80F" w:rsidR="00A46EAF"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służbie ochrony</w:t>
      </w:r>
      <w:r w:rsidRPr="00802469">
        <w:rPr>
          <w:rFonts w:asciiTheme="minorHAnsi" w:hAnsiTheme="minorHAnsi" w:cstheme="minorHAnsi"/>
        </w:rPr>
        <w:t xml:space="preserve"> - należy przez to rozumieć </w:t>
      </w:r>
      <w:r w:rsidR="00EE048B" w:rsidRPr="00802469">
        <w:rPr>
          <w:rFonts w:asciiTheme="minorHAnsi" w:hAnsiTheme="minorHAnsi" w:cstheme="minorHAnsi"/>
        </w:rPr>
        <w:t>pracowników firmy ochrony</w:t>
      </w:r>
      <w:r w:rsidRPr="00802469">
        <w:rPr>
          <w:rFonts w:asciiTheme="minorHAnsi" w:hAnsiTheme="minorHAnsi" w:cstheme="minorHAnsi"/>
        </w:rPr>
        <w:t xml:space="preserve">, z którą </w:t>
      </w:r>
      <w:r w:rsidR="00DD5F0C" w:rsidRPr="00802469">
        <w:rPr>
          <w:rFonts w:asciiTheme="minorHAnsi" w:hAnsiTheme="minorHAnsi" w:cstheme="minorHAnsi"/>
        </w:rPr>
        <w:t xml:space="preserve">Sąd </w:t>
      </w:r>
      <w:r w:rsidRPr="00802469">
        <w:rPr>
          <w:rFonts w:asciiTheme="minorHAnsi" w:hAnsiTheme="minorHAnsi" w:cstheme="minorHAnsi"/>
        </w:rPr>
        <w:t>zawarł umowę na świadczenie usług ochrony osób i mienia</w:t>
      </w:r>
      <w:r w:rsidR="00DD5F0C" w:rsidRPr="00802469">
        <w:rPr>
          <w:rFonts w:asciiTheme="minorHAnsi" w:hAnsiTheme="minorHAnsi" w:cstheme="minorHAnsi"/>
        </w:rPr>
        <w:t xml:space="preserve"> w obiekcie Sądu</w:t>
      </w:r>
      <w:r w:rsidRPr="00802469">
        <w:rPr>
          <w:rFonts w:asciiTheme="minorHAnsi" w:hAnsiTheme="minorHAnsi" w:cstheme="minorHAnsi"/>
        </w:rPr>
        <w:t>;</w:t>
      </w:r>
    </w:p>
    <w:p w14:paraId="60939BC4" w14:textId="170758C1" w:rsidR="00A46EAF"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Policji Sądowej</w:t>
      </w:r>
      <w:r w:rsidRPr="00802469">
        <w:rPr>
          <w:rFonts w:asciiTheme="minorHAnsi" w:hAnsiTheme="minorHAnsi" w:cstheme="minorHAnsi"/>
        </w:rPr>
        <w:t xml:space="preserve"> - należy przez to rozumieć funkcjonariuszy Policji </w:t>
      </w:r>
      <w:r w:rsidR="000F1530" w:rsidRPr="00802469">
        <w:rPr>
          <w:rFonts w:asciiTheme="minorHAnsi" w:hAnsiTheme="minorHAnsi" w:cstheme="minorHAnsi"/>
        </w:rPr>
        <w:t xml:space="preserve"> </w:t>
      </w:r>
      <w:r w:rsidRPr="00802469">
        <w:rPr>
          <w:rFonts w:asciiTheme="minorHAnsi" w:hAnsiTheme="minorHAnsi" w:cstheme="minorHAnsi"/>
        </w:rPr>
        <w:t>pełniących służbę w </w:t>
      </w:r>
      <w:r w:rsidR="00EE048B" w:rsidRPr="00802469">
        <w:rPr>
          <w:rFonts w:asciiTheme="minorHAnsi" w:hAnsiTheme="minorHAnsi" w:cstheme="minorHAnsi"/>
        </w:rPr>
        <w:t>Sądzie</w:t>
      </w:r>
      <w:r w:rsidRPr="00802469">
        <w:rPr>
          <w:rFonts w:asciiTheme="minorHAnsi" w:hAnsiTheme="minorHAnsi" w:cstheme="minorHAnsi"/>
        </w:rPr>
        <w:t>;</w:t>
      </w:r>
    </w:p>
    <w:p w14:paraId="23FC5B47" w14:textId="2F12EE0A" w:rsidR="00A46EAF"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komórce organizacyjnej</w:t>
      </w:r>
      <w:r w:rsidRPr="00802469">
        <w:rPr>
          <w:rFonts w:asciiTheme="minorHAnsi" w:hAnsiTheme="minorHAnsi" w:cstheme="minorHAnsi"/>
        </w:rPr>
        <w:t xml:space="preserve"> - należy przez to rozumieć komórkę powołaną do wykonywania określonych zadań, mającą swe miejsce w strukturze organizacyjnej </w:t>
      </w:r>
      <w:r w:rsidR="00EE048B" w:rsidRPr="00802469">
        <w:rPr>
          <w:rFonts w:asciiTheme="minorHAnsi" w:hAnsiTheme="minorHAnsi" w:cstheme="minorHAnsi"/>
        </w:rPr>
        <w:t>Sądu</w:t>
      </w:r>
      <w:r w:rsidRPr="00802469">
        <w:rPr>
          <w:rFonts w:asciiTheme="minorHAnsi" w:hAnsiTheme="minorHAnsi" w:cstheme="minorHAnsi"/>
        </w:rPr>
        <w:t>(w szczególności wydział, oddział, sekcja, zespół, samodzielne stanowisko);</w:t>
      </w:r>
    </w:p>
    <w:p w14:paraId="6D2D5849" w14:textId="0FE49EB6" w:rsidR="00E946C3" w:rsidRPr="00802469" w:rsidRDefault="0045371F" w:rsidP="00802469">
      <w:pPr>
        <w:pStyle w:val="NormalnyWeb"/>
        <w:numPr>
          <w:ilvl w:val="0"/>
          <w:numId w:val="2"/>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Oddziale Gospodarczym</w:t>
      </w:r>
      <w:r w:rsidRPr="00802469">
        <w:rPr>
          <w:rFonts w:asciiTheme="minorHAnsi" w:hAnsiTheme="minorHAnsi" w:cstheme="minorHAnsi"/>
        </w:rPr>
        <w:t xml:space="preserve"> - należy przez to rozumieć komórkę organizacyjną do zakresu działania której należy </w:t>
      </w:r>
      <w:r w:rsidR="000F1530" w:rsidRPr="00802469">
        <w:rPr>
          <w:rFonts w:asciiTheme="minorHAnsi" w:hAnsiTheme="minorHAnsi" w:cstheme="minorHAnsi"/>
        </w:rPr>
        <w:t xml:space="preserve">między innymi </w:t>
      </w:r>
      <w:r w:rsidRPr="00802469">
        <w:rPr>
          <w:rFonts w:asciiTheme="minorHAnsi" w:hAnsiTheme="minorHAnsi" w:cstheme="minorHAnsi"/>
        </w:rPr>
        <w:t>zapewnienie ochrony i bezpieczeństwa w Sądzie.</w:t>
      </w:r>
    </w:p>
    <w:p w14:paraId="053E66A2"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3</w:t>
      </w:r>
    </w:p>
    <w:p w14:paraId="20E49E36" w14:textId="516A2D96" w:rsidR="00A46EAF" w:rsidRPr="00802469" w:rsidRDefault="00EE048B" w:rsidP="00802469">
      <w:pPr>
        <w:pStyle w:val="NormalnyWeb"/>
        <w:numPr>
          <w:ilvl w:val="0"/>
          <w:numId w:val="3"/>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Sąd</w:t>
      </w:r>
      <w:r w:rsidR="0045371F" w:rsidRPr="00802469">
        <w:rPr>
          <w:rFonts w:asciiTheme="minorHAnsi" w:hAnsiTheme="minorHAnsi" w:cstheme="minorHAnsi"/>
        </w:rPr>
        <w:t xml:space="preserve"> zapewnia ochronę osób i mienia poprzez całodobowe świadczenie usług </w:t>
      </w:r>
      <w:r w:rsidR="000F1530" w:rsidRPr="00802469">
        <w:rPr>
          <w:rFonts w:asciiTheme="minorHAnsi" w:hAnsiTheme="minorHAnsi" w:cstheme="minorHAnsi"/>
        </w:rPr>
        <w:t xml:space="preserve">ochrony fizycznej </w:t>
      </w:r>
      <w:r w:rsidR="0045371F" w:rsidRPr="00802469">
        <w:rPr>
          <w:rFonts w:asciiTheme="minorHAnsi" w:hAnsiTheme="minorHAnsi" w:cstheme="minorHAnsi"/>
        </w:rPr>
        <w:t xml:space="preserve">przez </w:t>
      </w:r>
      <w:r w:rsidR="000F1530" w:rsidRPr="00802469">
        <w:rPr>
          <w:rFonts w:asciiTheme="minorHAnsi" w:hAnsiTheme="minorHAnsi" w:cstheme="minorHAnsi"/>
        </w:rPr>
        <w:t>koncesjonowanego Wykonawcę tych usług wspomaganego przez</w:t>
      </w:r>
      <w:r w:rsidRPr="00802469">
        <w:rPr>
          <w:rFonts w:asciiTheme="minorHAnsi" w:hAnsiTheme="minorHAnsi" w:cstheme="minorHAnsi"/>
        </w:rPr>
        <w:t xml:space="preserve"> systemy alarmowe</w:t>
      </w:r>
      <w:r w:rsidR="0045371F" w:rsidRPr="00802469">
        <w:rPr>
          <w:rFonts w:asciiTheme="minorHAnsi" w:hAnsiTheme="minorHAnsi" w:cstheme="minorHAnsi"/>
        </w:rPr>
        <w:t xml:space="preserve"> oraz monitoring wizyjny.</w:t>
      </w:r>
    </w:p>
    <w:p w14:paraId="32236D56" w14:textId="18AAF996" w:rsidR="00A46EAF" w:rsidRPr="00802469" w:rsidRDefault="0045371F" w:rsidP="00802469">
      <w:pPr>
        <w:pStyle w:val="NormalnyWeb"/>
        <w:numPr>
          <w:ilvl w:val="0"/>
          <w:numId w:val="3"/>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xml:space="preserve">Bezpieczeństwo i porządek publiczny w Sądzie zapewnia </w:t>
      </w:r>
      <w:r w:rsidR="00EE048B" w:rsidRPr="00802469">
        <w:rPr>
          <w:rFonts w:asciiTheme="minorHAnsi" w:hAnsiTheme="minorHAnsi" w:cstheme="minorHAnsi"/>
        </w:rPr>
        <w:t xml:space="preserve">Oddział Gospodarczy oraz </w:t>
      </w:r>
      <w:r w:rsidRPr="00802469">
        <w:rPr>
          <w:rFonts w:asciiTheme="minorHAnsi" w:hAnsiTheme="minorHAnsi" w:cstheme="minorHAnsi"/>
        </w:rPr>
        <w:t>służba ochrony we współpracy z Policją Sądową.</w:t>
      </w:r>
    </w:p>
    <w:p w14:paraId="45F417FD" w14:textId="28554BA2" w:rsidR="0045371F" w:rsidRPr="00802469" w:rsidRDefault="00EE048B" w:rsidP="00802469">
      <w:pPr>
        <w:pStyle w:val="NormalnyWeb"/>
        <w:numPr>
          <w:ilvl w:val="0"/>
          <w:numId w:val="3"/>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O wszystkich przypadkach dotyczących zakłócenia bezpieczeństwa i porządku służba ochrony</w:t>
      </w:r>
      <w:r w:rsidR="003D48C8" w:rsidRPr="00802469">
        <w:rPr>
          <w:rFonts w:asciiTheme="minorHAnsi" w:hAnsiTheme="minorHAnsi" w:cstheme="minorHAnsi"/>
        </w:rPr>
        <w:t xml:space="preserve"> i Policja Sądowa</w:t>
      </w:r>
      <w:r w:rsidRPr="00802469">
        <w:rPr>
          <w:rFonts w:asciiTheme="minorHAnsi" w:hAnsiTheme="minorHAnsi" w:cstheme="minorHAnsi"/>
        </w:rPr>
        <w:t xml:space="preserve"> niezwłocznie zawiadamia Oddział Gospodarczy. </w:t>
      </w:r>
      <w:r w:rsidR="0045371F" w:rsidRPr="00802469">
        <w:rPr>
          <w:rFonts w:asciiTheme="minorHAnsi" w:hAnsiTheme="minorHAnsi" w:cstheme="minorHAnsi"/>
        </w:rPr>
        <w:br/>
      </w:r>
    </w:p>
    <w:p w14:paraId="313FC680" w14:textId="0D2A0B41" w:rsidR="00A46EA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lastRenderedPageBreak/>
        <w:t>§ 4</w:t>
      </w:r>
      <w:r w:rsidRPr="00802469">
        <w:rPr>
          <w:rFonts w:asciiTheme="minorHAnsi" w:hAnsiTheme="minorHAnsi" w:cstheme="minorHAnsi"/>
        </w:rPr>
        <w:br/>
      </w:r>
      <w:r w:rsidR="00EE048B" w:rsidRPr="00802469">
        <w:rPr>
          <w:rFonts w:asciiTheme="minorHAnsi" w:hAnsiTheme="minorHAnsi" w:cstheme="minorHAnsi"/>
        </w:rPr>
        <w:t xml:space="preserve">1. </w:t>
      </w:r>
      <w:r w:rsidRPr="00802469">
        <w:rPr>
          <w:rFonts w:asciiTheme="minorHAnsi" w:hAnsiTheme="minorHAnsi" w:cstheme="minorHAnsi"/>
        </w:rPr>
        <w:t>Do zadań służby ochrony należy:</w:t>
      </w:r>
    </w:p>
    <w:p w14:paraId="5A412811" w14:textId="77777777" w:rsidR="00EE048B" w:rsidRPr="00802469" w:rsidRDefault="00EE048B" w:rsidP="00802469">
      <w:pPr>
        <w:pStyle w:val="NormalnyWeb"/>
        <w:numPr>
          <w:ilvl w:val="0"/>
          <w:numId w:val="4"/>
        </w:numPr>
        <w:shd w:val="clear" w:color="auto" w:fill="FFFFFF"/>
        <w:spacing w:after="150"/>
        <w:rPr>
          <w:rFonts w:asciiTheme="minorHAnsi" w:hAnsiTheme="minorHAnsi" w:cstheme="minorHAnsi"/>
        </w:rPr>
      </w:pPr>
      <w:r w:rsidRPr="00802469">
        <w:rPr>
          <w:rFonts w:asciiTheme="minorHAnsi" w:hAnsiTheme="minorHAnsi" w:cstheme="minorHAnsi"/>
        </w:rPr>
        <w:t>ochrona mienia Sądu i osób przebywających w Sądzie, a w przypadku zagrożenia podejmowanie działania mającego zminimalizować szkody i straty;</w:t>
      </w:r>
    </w:p>
    <w:p w14:paraId="10AAFAE8" w14:textId="47F13C53" w:rsidR="00EE048B" w:rsidRPr="00802469" w:rsidRDefault="00EE048B" w:rsidP="00802469">
      <w:pPr>
        <w:pStyle w:val="NormalnyWeb"/>
        <w:numPr>
          <w:ilvl w:val="0"/>
          <w:numId w:val="4"/>
        </w:numPr>
        <w:shd w:val="clear" w:color="auto" w:fill="FFFFFF"/>
        <w:spacing w:after="150"/>
        <w:rPr>
          <w:rFonts w:asciiTheme="minorHAnsi" w:hAnsiTheme="minorHAnsi" w:cstheme="minorHAnsi"/>
        </w:rPr>
      </w:pPr>
      <w:r w:rsidRPr="00802469">
        <w:rPr>
          <w:rFonts w:asciiTheme="minorHAnsi" w:hAnsiTheme="minorHAnsi" w:cstheme="minorHAnsi"/>
        </w:rPr>
        <w:t>weryfikacja ruchu osobowego w Sądzie, poprzez ustalanie uprawnień do przebywania w Sadzie oraz legitymowanie osób wchodzących do Sądu na podstawie art. 36 ustawy z dnia 22 sierpnia 1997 r. o ochronie osób i mienia;</w:t>
      </w:r>
    </w:p>
    <w:p w14:paraId="5E0D8735" w14:textId="77777777" w:rsidR="00EE048B" w:rsidRPr="00802469" w:rsidRDefault="00EE048B" w:rsidP="00802469">
      <w:pPr>
        <w:pStyle w:val="NormalnyWeb"/>
        <w:numPr>
          <w:ilvl w:val="0"/>
          <w:numId w:val="4"/>
        </w:numPr>
        <w:shd w:val="clear" w:color="auto" w:fill="FFFFFF"/>
        <w:spacing w:after="150"/>
        <w:rPr>
          <w:rFonts w:asciiTheme="minorHAnsi" w:hAnsiTheme="minorHAnsi" w:cstheme="minorHAnsi"/>
        </w:rPr>
      </w:pPr>
      <w:r w:rsidRPr="00802469">
        <w:rPr>
          <w:rFonts w:asciiTheme="minorHAnsi" w:hAnsiTheme="minorHAnsi" w:cstheme="minorHAnsi"/>
        </w:rPr>
        <w:t>podejmowanie interwencji wobec osób nietrzeźwych i zakłócających spokój w Sądzie;</w:t>
      </w:r>
    </w:p>
    <w:p w14:paraId="4808E48E" w14:textId="77777777" w:rsidR="00EE048B" w:rsidRPr="00802469" w:rsidRDefault="00EE048B" w:rsidP="00802469">
      <w:pPr>
        <w:pStyle w:val="NormalnyWeb"/>
        <w:numPr>
          <w:ilvl w:val="0"/>
          <w:numId w:val="4"/>
        </w:numPr>
        <w:shd w:val="clear" w:color="auto" w:fill="FFFFFF"/>
        <w:spacing w:after="150"/>
        <w:rPr>
          <w:rFonts w:asciiTheme="minorHAnsi" w:hAnsiTheme="minorHAnsi" w:cstheme="minorHAnsi"/>
        </w:rPr>
      </w:pPr>
      <w:r w:rsidRPr="00802469">
        <w:rPr>
          <w:rFonts w:asciiTheme="minorHAnsi" w:hAnsiTheme="minorHAnsi" w:cstheme="minorHAnsi"/>
        </w:rPr>
        <w:t>podejmowanie interwencji w przypadku zagrożenia bezpieczeństwa w Sądzie (np. włamanie, pożar, zalanie, alarm bombowy itp.);</w:t>
      </w:r>
    </w:p>
    <w:p w14:paraId="41D2329E" w14:textId="2CDC45DD" w:rsidR="00EE048B" w:rsidRPr="00802469" w:rsidRDefault="00EE048B" w:rsidP="00802469">
      <w:pPr>
        <w:pStyle w:val="NormalnyWeb"/>
        <w:numPr>
          <w:ilvl w:val="0"/>
          <w:numId w:val="4"/>
        </w:numPr>
        <w:shd w:val="clear" w:color="auto" w:fill="FFFFFF"/>
        <w:spacing w:after="150"/>
        <w:rPr>
          <w:rFonts w:asciiTheme="minorHAnsi" w:hAnsiTheme="minorHAnsi" w:cstheme="minorHAnsi"/>
        </w:rPr>
      </w:pPr>
      <w:r w:rsidRPr="00802469">
        <w:rPr>
          <w:rFonts w:asciiTheme="minorHAnsi" w:hAnsiTheme="minorHAnsi" w:cstheme="minorHAnsi"/>
        </w:rPr>
        <w:t>wypełnianie innych obowiązków wynikających z umowy na świadczenie usług ochrony osób i mienia w obiek</w:t>
      </w:r>
      <w:r w:rsidR="00195E39" w:rsidRPr="00802469">
        <w:rPr>
          <w:rFonts w:asciiTheme="minorHAnsi" w:hAnsiTheme="minorHAnsi" w:cstheme="minorHAnsi"/>
        </w:rPr>
        <w:t>cie</w:t>
      </w:r>
      <w:r w:rsidRPr="00802469">
        <w:rPr>
          <w:rFonts w:asciiTheme="minorHAnsi" w:hAnsiTheme="minorHAnsi" w:cstheme="minorHAnsi"/>
        </w:rPr>
        <w:t xml:space="preserve"> Sądu.</w:t>
      </w:r>
    </w:p>
    <w:p w14:paraId="1332FE9A" w14:textId="3212EAC6" w:rsidR="00EE048B" w:rsidRPr="00802469" w:rsidRDefault="00EE048B" w:rsidP="00802469">
      <w:pPr>
        <w:pStyle w:val="NormalnyWeb"/>
        <w:numPr>
          <w:ilvl w:val="0"/>
          <w:numId w:val="14"/>
        </w:numPr>
        <w:shd w:val="clear" w:color="auto" w:fill="FFFFFF"/>
        <w:spacing w:after="150"/>
        <w:rPr>
          <w:rFonts w:asciiTheme="minorHAnsi" w:hAnsiTheme="minorHAnsi" w:cstheme="minorHAnsi"/>
        </w:rPr>
      </w:pPr>
      <w:r w:rsidRPr="00802469">
        <w:rPr>
          <w:rFonts w:asciiTheme="minorHAnsi" w:hAnsiTheme="minorHAnsi" w:cstheme="minorHAnsi"/>
        </w:rPr>
        <w:t xml:space="preserve">Pracownicy służby ochrony podczas wykonywania zadań ochrony osób i mienia są </w:t>
      </w:r>
      <w:r w:rsidR="00195E39" w:rsidRPr="00802469">
        <w:rPr>
          <w:rFonts w:asciiTheme="minorHAnsi" w:hAnsiTheme="minorHAnsi" w:cstheme="minorHAnsi"/>
        </w:rPr>
        <w:t>z</w:t>
      </w:r>
      <w:r w:rsidRPr="00802469">
        <w:rPr>
          <w:rFonts w:asciiTheme="minorHAnsi" w:hAnsiTheme="minorHAnsi" w:cstheme="minorHAnsi"/>
        </w:rPr>
        <w:t>obowiązani postępować zgodnie z art. 38a. ustawy z dnia 22 sierpnia 1997 r. o ochronie osób i mienia</w:t>
      </w:r>
      <w:r w:rsidR="00B0411F" w:rsidRPr="00802469">
        <w:rPr>
          <w:rFonts w:asciiTheme="minorHAnsi" w:hAnsiTheme="minorHAnsi" w:cstheme="minorHAnsi"/>
        </w:rPr>
        <w:t>.</w:t>
      </w:r>
    </w:p>
    <w:p w14:paraId="2FFC4F56" w14:textId="67554562" w:rsidR="00EE048B" w:rsidRPr="00802469" w:rsidRDefault="00EE048B" w:rsidP="00802469">
      <w:pPr>
        <w:pStyle w:val="NormalnyWeb"/>
        <w:numPr>
          <w:ilvl w:val="0"/>
          <w:numId w:val="14"/>
        </w:numPr>
        <w:shd w:val="clear" w:color="auto" w:fill="FFFFFF"/>
        <w:spacing w:after="150"/>
        <w:rPr>
          <w:rFonts w:asciiTheme="minorHAnsi" w:hAnsiTheme="minorHAnsi" w:cstheme="minorHAnsi"/>
        </w:rPr>
      </w:pPr>
      <w:r w:rsidRPr="00802469">
        <w:rPr>
          <w:rFonts w:asciiTheme="minorHAnsi" w:hAnsiTheme="minorHAnsi" w:cstheme="minorHAnsi"/>
        </w:rPr>
        <w:t xml:space="preserve">Pracownicy służby ochrony pełniąc służbę </w:t>
      </w:r>
      <w:r w:rsidR="00D2386C" w:rsidRPr="00802469">
        <w:rPr>
          <w:rFonts w:asciiTheme="minorHAnsi" w:hAnsiTheme="minorHAnsi" w:cstheme="minorHAnsi"/>
        </w:rPr>
        <w:t>powinni</w:t>
      </w:r>
      <w:r w:rsidRPr="00802469">
        <w:rPr>
          <w:rFonts w:asciiTheme="minorHAnsi" w:hAnsiTheme="minorHAnsi" w:cstheme="minorHAnsi"/>
        </w:rPr>
        <w:t xml:space="preserve"> używać urządzeń technicznych </w:t>
      </w:r>
      <w:r w:rsidR="00D2386C" w:rsidRPr="00802469">
        <w:rPr>
          <w:rFonts w:asciiTheme="minorHAnsi" w:hAnsiTheme="minorHAnsi" w:cstheme="minorHAnsi"/>
        </w:rPr>
        <w:t xml:space="preserve">do wykrywania zagrożeń </w:t>
      </w:r>
      <w:r w:rsidRPr="00802469">
        <w:rPr>
          <w:rFonts w:asciiTheme="minorHAnsi" w:hAnsiTheme="minorHAnsi" w:cstheme="minorHAnsi"/>
        </w:rPr>
        <w:t>(np. wykrywacz metalu</w:t>
      </w:r>
      <w:r w:rsidR="00D2386C" w:rsidRPr="00802469">
        <w:rPr>
          <w:rFonts w:asciiTheme="minorHAnsi" w:hAnsiTheme="minorHAnsi" w:cstheme="minorHAnsi"/>
        </w:rPr>
        <w:t>, bramki detekcyjne, analizator płynów</w:t>
      </w:r>
      <w:r w:rsidRPr="00802469">
        <w:rPr>
          <w:rFonts w:asciiTheme="minorHAnsi" w:hAnsiTheme="minorHAnsi" w:cstheme="minorHAnsi"/>
        </w:rPr>
        <w:t>).</w:t>
      </w:r>
    </w:p>
    <w:p w14:paraId="58FC7F9E" w14:textId="293E89A3"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5</w:t>
      </w:r>
    </w:p>
    <w:p w14:paraId="5613E482" w14:textId="6FD551C9" w:rsidR="00B0411F" w:rsidRPr="00802469" w:rsidRDefault="00B0411F" w:rsidP="00802469">
      <w:pPr>
        <w:pStyle w:val="NormalnyWeb"/>
        <w:numPr>
          <w:ilvl w:val="0"/>
          <w:numId w:val="5"/>
        </w:numPr>
        <w:shd w:val="clear" w:color="auto" w:fill="FFFFFF"/>
        <w:spacing w:after="150"/>
        <w:rPr>
          <w:rFonts w:asciiTheme="minorHAnsi" w:hAnsiTheme="minorHAnsi" w:cstheme="minorHAnsi"/>
        </w:rPr>
      </w:pPr>
      <w:r w:rsidRPr="00802469">
        <w:rPr>
          <w:rFonts w:asciiTheme="minorHAnsi" w:hAnsiTheme="minorHAnsi" w:cstheme="minorHAnsi"/>
        </w:rPr>
        <w:t xml:space="preserve">Do budynków Sądu mogą wchodzić poza pracownikami sądów oraz osobami posiadającymi upoważnienie, osoby wezwane przez sąd, uczestnicy postępowań sądowych i przygotowawczych posiadający odpowiednie wezwanie lub zawiadomienie, ich pełnomocnicy, prokuratorzy, funkcjonariusze publiczni oraz pracownicy służb, inspekcji i straży wykonujący obowiązki służbowe, a także inne osoby, które wskażą potrzebę wejścia w celu uczestniczenia w jawnej rozprawie lub posiedzeniu, albo </w:t>
      </w:r>
      <w:r w:rsidR="00D2386C" w:rsidRPr="00802469">
        <w:rPr>
          <w:rFonts w:asciiTheme="minorHAnsi" w:hAnsiTheme="minorHAnsi" w:cstheme="minorHAnsi"/>
        </w:rPr>
        <w:t xml:space="preserve">które wykażą </w:t>
      </w:r>
      <w:r w:rsidR="005F6FD3" w:rsidRPr="00802469">
        <w:rPr>
          <w:rFonts w:asciiTheme="minorHAnsi" w:hAnsiTheme="minorHAnsi" w:cstheme="minorHAnsi"/>
        </w:rPr>
        <w:t>inny ważny powód obecności w Sądzie</w:t>
      </w:r>
      <w:r w:rsidR="00D2386C" w:rsidRPr="00802469">
        <w:rPr>
          <w:rFonts w:asciiTheme="minorHAnsi" w:hAnsiTheme="minorHAnsi" w:cstheme="minorHAnsi"/>
        </w:rPr>
        <w:t xml:space="preserve"> </w:t>
      </w:r>
      <w:r w:rsidRPr="00802469">
        <w:rPr>
          <w:rFonts w:asciiTheme="minorHAnsi" w:hAnsiTheme="minorHAnsi" w:cstheme="minorHAnsi"/>
        </w:rPr>
        <w:t>.</w:t>
      </w:r>
    </w:p>
    <w:p w14:paraId="5432361A" w14:textId="77777777" w:rsidR="00B0411F" w:rsidRPr="00802469" w:rsidRDefault="00B0411F" w:rsidP="00802469">
      <w:pPr>
        <w:pStyle w:val="NormalnyWeb"/>
        <w:numPr>
          <w:ilvl w:val="0"/>
          <w:numId w:val="5"/>
        </w:numPr>
        <w:shd w:val="clear" w:color="auto" w:fill="FFFFFF"/>
        <w:spacing w:after="150"/>
        <w:rPr>
          <w:rFonts w:asciiTheme="minorHAnsi" w:hAnsiTheme="minorHAnsi" w:cstheme="minorHAnsi"/>
        </w:rPr>
      </w:pPr>
      <w:r w:rsidRPr="00802469">
        <w:rPr>
          <w:rFonts w:asciiTheme="minorHAnsi" w:hAnsiTheme="minorHAnsi" w:cstheme="minorHAnsi"/>
        </w:rPr>
        <w:t>Osoby wchodzące na teren Sądu zobowiązane są poddać się kontroli przeprowadzanej przez służbę ochrony poprzez:</w:t>
      </w:r>
    </w:p>
    <w:p w14:paraId="6C1A9DA8" w14:textId="316DED92" w:rsidR="00B0411F" w:rsidRPr="00802469" w:rsidRDefault="00B0411F" w:rsidP="00802469">
      <w:pPr>
        <w:pStyle w:val="NormalnyWeb"/>
        <w:numPr>
          <w:ilvl w:val="0"/>
          <w:numId w:val="15"/>
        </w:numPr>
        <w:shd w:val="clear" w:color="auto" w:fill="FFFFFF"/>
        <w:spacing w:after="150"/>
        <w:rPr>
          <w:rFonts w:asciiTheme="minorHAnsi" w:hAnsiTheme="minorHAnsi" w:cstheme="minorHAnsi"/>
        </w:rPr>
      </w:pPr>
      <w:r w:rsidRPr="00802469">
        <w:rPr>
          <w:rFonts w:asciiTheme="minorHAnsi" w:hAnsiTheme="minorHAnsi" w:cstheme="minorHAnsi"/>
        </w:rPr>
        <w:t>okazanie dokumentu ze zdjęciem na żądanie pracownika służby ochrony;</w:t>
      </w:r>
    </w:p>
    <w:p w14:paraId="66135132" w14:textId="1F102BF5" w:rsidR="00B0411F" w:rsidRPr="00802469" w:rsidRDefault="00B0411F" w:rsidP="00802469">
      <w:pPr>
        <w:pStyle w:val="NormalnyWeb"/>
        <w:numPr>
          <w:ilvl w:val="0"/>
          <w:numId w:val="15"/>
        </w:numPr>
        <w:shd w:val="clear" w:color="auto" w:fill="FFFFFF"/>
        <w:spacing w:after="150"/>
        <w:rPr>
          <w:rFonts w:asciiTheme="minorHAnsi" w:hAnsiTheme="minorHAnsi" w:cstheme="minorHAnsi"/>
        </w:rPr>
      </w:pPr>
      <w:r w:rsidRPr="00802469">
        <w:rPr>
          <w:rFonts w:asciiTheme="minorHAnsi" w:hAnsiTheme="minorHAnsi" w:cstheme="minorHAnsi"/>
        </w:rPr>
        <w:t>przejście przez bramkę elektromagnetyczną służącą do wykrywania metali lub poddanie się sprawdzeniu przy pomocy ręcznego wykrywacza metali.;</w:t>
      </w:r>
    </w:p>
    <w:p w14:paraId="69B8BB65" w14:textId="26DA010C" w:rsidR="0045371F" w:rsidRPr="00802469" w:rsidRDefault="00B0411F" w:rsidP="00802469">
      <w:pPr>
        <w:pStyle w:val="NormalnyWeb"/>
        <w:numPr>
          <w:ilvl w:val="0"/>
          <w:numId w:val="5"/>
        </w:numPr>
        <w:shd w:val="clear" w:color="auto" w:fill="FFFFFF"/>
        <w:spacing w:after="150"/>
        <w:rPr>
          <w:rFonts w:asciiTheme="minorHAnsi" w:hAnsiTheme="minorHAnsi" w:cstheme="minorHAnsi"/>
        </w:rPr>
      </w:pPr>
      <w:r w:rsidRPr="00802469">
        <w:rPr>
          <w:rFonts w:asciiTheme="minorHAnsi" w:hAnsiTheme="minorHAnsi" w:cstheme="minorHAnsi"/>
        </w:rPr>
        <w:t>Z obowiązku poddania się czynnościom sprawdzającym wymienionym w § 5 ust. 2 zwolnieni są: osoby pełniące najwyższe funkcje państwowe, osoby posiadające immunitet, pracownicy resortu sprawiedliwości, organów ścigania, służb specjalnych i ochrony rządu, adwokaci, radcowie prawni, rzecznicy patentowi, notariusze, komornicy sądowi, biegli sądowi i ławnicy, po wcześniejszym okazaniu ważnej legitymacji służbowej.</w:t>
      </w:r>
    </w:p>
    <w:p w14:paraId="6EF9FA37"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6</w:t>
      </w:r>
    </w:p>
    <w:p w14:paraId="712D4EB2" w14:textId="42522AFC" w:rsidR="00B0411F" w:rsidRPr="00802469" w:rsidRDefault="00B0411F" w:rsidP="00802469">
      <w:pPr>
        <w:pStyle w:val="NormalnyWeb"/>
        <w:numPr>
          <w:ilvl w:val="0"/>
          <w:numId w:val="12"/>
        </w:numPr>
        <w:spacing w:before="0" w:beforeAutospacing="0" w:after="150" w:afterAutospacing="0"/>
        <w:rPr>
          <w:rFonts w:asciiTheme="minorHAnsi" w:hAnsiTheme="minorHAnsi" w:cstheme="minorHAnsi"/>
        </w:rPr>
      </w:pPr>
      <w:r w:rsidRPr="00802469">
        <w:rPr>
          <w:rFonts w:asciiTheme="minorHAnsi" w:hAnsiTheme="minorHAnsi" w:cstheme="minorHAnsi"/>
        </w:rPr>
        <w:t xml:space="preserve">W przypadku podejrzenia, że osoba wchodząca lub przebywająca w Sądzie, znajduje się pod wpływem alkoholu lub środka odurzającego, służba ochrony ma obowiązek </w:t>
      </w:r>
      <w:r w:rsidRPr="00802469">
        <w:rPr>
          <w:rFonts w:asciiTheme="minorHAnsi" w:hAnsiTheme="minorHAnsi" w:cstheme="minorHAnsi"/>
        </w:rPr>
        <w:lastRenderedPageBreak/>
        <w:t xml:space="preserve">wezwać </w:t>
      </w:r>
      <w:r w:rsidR="005453FF" w:rsidRPr="00802469">
        <w:rPr>
          <w:rFonts w:asciiTheme="minorHAnsi" w:hAnsiTheme="minorHAnsi" w:cstheme="minorHAnsi"/>
        </w:rPr>
        <w:t xml:space="preserve">odpowiednie organy </w:t>
      </w:r>
      <w:r w:rsidRPr="00802469">
        <w:rPr>
          <w:rFonts w:asciiTheme="minorHAnsi" w:hAnsiTheme="minorHAnsi" w:cstheme="minorHAnsi"/>
        </w:rPr>
        <w:t>w celu przeprowadzenia stosownego badania potwierdzającego ten fakt.</w:t>
      </w:r>
    </w:p>
    <w:p w14:paraId="7230E438" w14:textId="43D04B31" w:rsidR="00B0411F" w:rsidRPr="00802469" w:rsidRDefault="00B0411F" w:rsidP="00802469">
      <w:pPr>
        <w:pStyle w:val="NormalnyWeb"/>
        <w:numPr>
          <w:ilvl w:val="0"/>
          <w:numId w:val="12"/>
        </w:numPr>
        <w:spacing w:before="0" w:beforeAutospacing="0" w:after="150" w:afterAutospacing="0"/>
        <w:rPr>
          <w:rFonts w:asciiTheme="minorHAnsi" w:hAnsiTheme="minorHAnsi" w:cstheme="minorHAnsi"/>
        </w:rPr>
      </w:pPr>
      <w:r w:rsidRPr="00802469">
        <w:rPr>
          <w:rFonts w:asciiTheme="minorHAnsi" w:hAnsiTheme="minorHAnsi" w:cstheme="minorHAnsi"/>
        </w:rPr>
        <w:t>W przypadku, gdy osoba wezwana</w:t>
      </w:r>
      <w:r w:rsidR="00215C07" w:rsidRPr="00802469">
        <w:rPr>
          <w:rFonts w:asciiTheme="minorHAnsi" w:hAnsiTheme="minorHAnsi" w:cstheme="minorHAnsi"/>
        </w:rPr>
        <w:t xml:space="preserve"> na rozprawę</w:t>
      </w:r>
      <w:r w:rsidRPr="00802469">
        <w:rPr>
          <w:rFonts w:asciiTheme="minorHAnsi" w:hAnsiTheme="minorHAnsi" w:cstheme="minorHAnsi"/>
        </w:rPr>
        <w:t xml:space="preserve"> przez Sąd jest pod wpływem alkoholu lub innego środka odurzającego albo osoba, wobec której istnieje podejrzenie, że znajduje się pod wpływem alkoholu lub innego środka odurzającego, nie wyraża zgody na stosowne badanie, wówczas pracownik służby ochrony</w:t>
      </w:r>
      <w:r w:rsidR="005453FF" w:rsidRPr="00802469">
        <w:rPr>
          <w:rFonts w:asciiTheme="minorHAnsi" w:hAnsiTheme="minorHAnsi" w:cstheme="minorHAnsi"/>
        </w:rPr>
        <w:t xml:space="preserve"> lub Policja Sądowa</w:t>
      </w:r>
      <w:r w:rsidRPr="00802469">
        <w:rPr>
          <w:rFonts w:asciiTheme="minorHAnsi" w:hAnsiTheme="minorHAnsi" w:cstheme="minorHAnsi"/>
        </w:rPr>
        <w:t xml:space="preserve"> zobowiązany jest przekazać informację o zaistniałym fakcie do właściwej komórki organizacyjnej.</w:t>
      </w:r>
    </w:p>
    <w:p w14:paraId="58B0255D" w14:textId="28E17B82" w:rsidR="00B0411F" w:rsidRPr="00802469" w:rsidRDefault="00B0411F" w:rsidP="00802469">
      <w:pPr>
        <w:pStyle w:val="NormalnyWeb"/>
        <w:numPr>
          <w:ilvl w:val="0"/>
          <w:numId w:val="12"/>
        </w:numPr>
        <w:spacing w:before="0" w:beforeAutospacing="0" w:after="150" w:afterAutospacing="0"/>
        <w:rPr>
          <w:rFonts w:asciiTheme="minorHAnsi" w:hAnsiTheme="minorHAnsi" w:cstheme="minorHAnsi"/>
        </w:rPr>
      </w:pPr>
      <w:r w:rsidRPr="00802469">
        <w:rPr>
          <w:rFonts w:asciiTheme="minorHAnsi" w:hAnsiTheme="minorHAnsi" w:cstheme="minorHAnsi"/>
        </w:rPr>
        <w:t>Kierownik właściwej komórki organizacyjnej, w której prowadzona jest sprawa, przekazuje informację sędziemu prowadzącemu sprawę, o zaistnieniu sytuacji, o której mowa w ust. 2</w:t>
      </w:r>
      <w:r w:rsidR="00215C07" w:rsidRPr="00802469">
        <w:rPr>
          <w:rFonts w:asciiTheme="minorHAnsi" w:hAnsiTheme="minorHAnsi" w:cstheme="minorHAnsi"/>
        </w:rPr>
        <w:t xml:space="preserve"> zarządzenia</w:t>
      </w:r>
      <w:r w:rsidRPr="00802469">
        <w:rPr>
          <w:rFonts w:asciiTheme="minorHAnsi" w:hAnsiTheme="minorHAnsi" w:cstheme="minorHAnsi"/>
        </w:rPr>
        <w:t>.</w:t>
      </w:r>
    </w:p>
    <w:p w14:paraId="4B52F560" w14:textId="5F32E8C3"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7</w:t>
      </w:r>
    </w:p>
    <w:p w14:paraId="2FC02559" w14:textId="7E2EBD5D" w:rsidR="00871CF7"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t xml:space="preserve">Zabrania się wnoszenia do Sądu broni palnej i amunicji (nie dotyczy </w:t>
      </w:r>
      <w:r w:rsidR="005453FF" w:rsidRPr="00802469">
        <w:rPr>
          <w:rFonts w:asciiTheme="minorHAnsi" w:hAnsiTheme="minorHAnsi" w:cstheme="minorHAnsi"/>
        </w:rPr>
        <w:t xml:space="preserve">funkcjonariuszy </w:t>
      </w:r>
      <w:r w:rsidRPr="00802469">
        <w:rPr>
          <w:rFonts w:asciiTheme="minorHAnsi" w:hAnsiTheme="minorHAnsi" w:cstheme="minorHAnsi"/>
        </w:rPr>
        <w:t>Policji i Policji Sądowej w czasie wykonywania czynności służbowych), broni białej, materiałów wybuchowych, miotaczy gazu, paralizatorów elektrycznych, materiałów żrących, cuchnących, łatwopalnych, narkotyków, środków odurzających i alkoholu oraz wszystkich innych przedmiotów, które według oceny służby ochrony lub Policji Sądowej mogą stanowić zagrożenie dla życia, zdrowia lub mienia osób przebywających w Sądzie.</w:t>
      </w:r>
    </w:p>
    <w:p w14:paraId="2CD308D6" w14:textId="0E60B9AF"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8</w:t>
      </w:r>
    </w:p>
    <w:p w14:paraId="21B26D5C" w14:textId="77777777" w:rsidR="00A46EAF" w:rsidRPr="00802469" w:rsidRDefault="0045371F" w:rsidP="00802469">
      <w:pPr>
        <w:pStyle w:val="NormalnyWeb"/>
        <w:numPr>
          <w:ilvl w:val="0"/>
          <w:numId w:val="6"/>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Celem zapewnienia bezpieczeństwa i porządku w Sądzie zabrania się pozostawiania bagażu lub innych przedmiotów bez nadzoru.</w:t>
      </w:r>
    </w:p>
    <w:p w14:paraId="0AB24AA7" w14:textId="77777777" w:rsidR="00A46EAF" w:rsidRPr="00802469" w:rsidRDefault="0045371F" w:rsidP="00802469">
      <w:pPr>
        <w:pStyle w:val="NormalnyWeb"/>
        <w:numPr>
          <w:ilvl w:val="0"/>
          <w:numId w:val="6"/>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Bagaż lub inne przedmioty mogące stanowić utrudnienie w poruszaniu się w Sądzie, służba ochrony ma obowiązek przechować w odpowiednio wyznaczonym do tego celu miejscu na czas pobytu ich posiadacza w Sądzie.</w:t>
      </w:r>
    </w:p>
    <w:p w14:paraId="76C36EBB" w14:textId="77777777" w:rsidR="00A46EAF" w:rsidRPr="00802469" w:rsidRDefault="0045371F" w:rsidP="00802469">
      <w:pPr>
        <w:pStyle w:val="NormalnyWeb"/>
        <w:numPr>
          <w:ilvl w:val="0"/>
          <w:numId w:val="6"/>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Bagażu lub innych przedmiotów pozostawionych bez nadzoru nie należy dotykać, podnosić ani otwierać, a o fakcie ich zauważenia należy niezwłocznie zawiadomić służbę ochrony.</w:t>
      </w:r>
    </w:p>
    <w:p w14:paraId="425D0FE3" w14:textId="77777777" w:rsidR="00A46EAF" w:rsidRPr="00802469" w:rsidRDefault="0045371F" w:rsidP="00802469">
      <w:pPr>
        <w:pStyle w:val="NormalnyWeb"/>
        <w:numPr>
          <w:ilvl w:val="0"/>
          <w:numId w:val="6"/>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W przypadku, o którym mowa w ust. 3, służba ochrony podejmuje czynności polegające na zapewnieniu bezpieczeństwa i niezwłocznie zawiadamia o takiej sytuacji Policję Sądową i Oddział Gospodarczy.</w:t>
      </w:r>
    </w:p>
    <w:p w14:paraId="3706BBFB" w14:textId="703A6B6E" w:rsidR="0045371F" w:rsidRPr="00802469" w:rsidRDefault="0045371F" w:rsidP="00802469">
      <w:pPr>
        <w:pStyle w:val="NormalnyWeb"/>
        <w:numPr>
          <w:ilvl w:val="0"/>
          <w:numId w:val="6"/>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Bagaż i inne przedmioty pozostawione bez nadzoru będą usunięte oraz mogą być zneutralizowane na koszt ich właścicieli lub użytkowników.</w:t>
      </w:r>
      <w:r w:rsidRPr="00802469">
        <w:rPr>
          <w:rFonts w:asciiTheme="minorHAnsi" w:hAnsiTheme="minorHAnsi" w:cstheme="minorHAnsi"/>
        </w:rPr>
        <w:br/>
      </w:r>
    </w:p>
    <w:p w14:paraId="1866558B"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9</w:t>
      </w:r>
    </w:p>
    <w:p w14:paraId="501FD82B" w14:textId="6D4BE27F" w:rsidR="005453FF" w:rsidRPr="00802469" w:rsidRDefault="005453FF" w:rsidP="00802469">
      <w:pPr>
        <w:pStyle w:val="NormalnyWeb"/>
        <w:numPr>
          <w:ilvl w:val="0"/>
          <w:numId w:val="13"/>
        </w:numPr>
        <w:spacing w:before="0" w:beforeAutospacing="0" w:after="150" w:afterAutospacing="0"/>
        <w:rPr>
          <w:rFonts w:asciiTheme="minorHAnsi" w:hAnsiTheme="minorHAnsi" w:cstheme="minorHAnsi"/>
        </w:rPr>
      </w:pPr>
      <w:r w:rsidRPr="00802469">
        <w:rPr>
          <w:rFonts w:asciiTheme="minorHAnsi" w:hAnsiTheme="minorHAnsi" w:cstheme="minorHAnsi"/>
        </w:rPr>
        <w:t>Dziennikarze, fotoreporterzy, ekipy telewizyjne wchodzący do Sądu, obowiązani są do okazania „legitymacji prasowej" i poddania się kontroli określonej w § 5</w:t>
      </w:r>
      <w:r w:rsidR="00215C07" w:rsidRPr="00802469">
        <w:rPr>
          <w:rFonts w:asciiTheme="minorHAnsi" w:hAnsiTheme="minorHAnsi" w:cstheme="minorHAnsi"/>
        </w:rPr>
        <w:t xml:space="preserve"> zarządzenia</w:t>
      </w:r>
      <w:r w:rsidRPr="00802469">
        <w:rPr>
          <w:rFonts w:asciiTheme="minorHAnsi" w:hAnsiTheme="minorHAnsi" w:cstheme="minorHAnsi"/>
        </w:rPr>
        <w:t>. </w:t>
      </w:r>
    </w:p>
    <w:p w14:paraId="70B4CD6C" w14:textId="27F9FC5B" w:rsidR="005453FF" w:rsidRPr="00802469" w:rsidRDefault="005453FF" w:rsidP="00802469">
      <w:pPr>
        <w:pStyle w:val="NormalnyWeb"/>
        <w:numPr>
          <w:ilvl w:val="0"/>
          <w:numId w:val="13"/>
        </w:numPr>
        <w:spacing w:before="0" w:beforeAutospacing="0" w:after="150" w:afterAutospacing="0"/>
        <w:rPr>
          <w:rFonts w:asciiTheme="minorHAnsi" w:hAnsiTheme="minorHAnsi" w:cstheme="minorHAnsi"/>
        </w:rPr>
      </w:pPr>
      <w:r w:rsidRPr="00802469">
        <w:rPr>
          <w:rFonts w:asciiTheme="minorHAnsi" w:hAnsiTheme="minorHAnsi" w:cstheme="minorHAnsi"/>
        </w:rPr>
        <w:lastRenderedPageBreak/>
        <w:t>Obecność osób, o których mowa w ust. 1 na sali rozpraw oraz rejestracja filmowa, fotograficzna i dźwiękowa przebiegu rozpraw</w:t>
      </w:r>
      <w:r w:rsidR="00215C07" w:rsidRPr="00802469">
        <w:rPr>
          <w:rFonts w:asciiTheme="minorHAnsi" w:hAnsiTheme="minorHAnsi" w:cstheme="minorHAnsi"/>
        </w:rPr>
        <w:t>y, uzależniona jest od decyzji p</w:t>
      </w:r>
      <w:r w:rsidRPr="00802469">
        <w:rPr>
          <w:rFonts w:asciiTheme="minorHAnsi" w:hAnsiTheme="minorHAnsi" w:cstheme="minorHAnsi"/>
        </w:rPr>
        <w:t>rzewodniczącego składu orzekającego. </w:t>
      </w:r>
    </w:p>
    <w:p w14:paraId="6339A656" w14:textId="77777777" w:rsidR="005453FF" w:rsidRPr="00802469" w:rsidRDefault="005453FF" w:rsidP="00802469">
      <w:pPr>
        <w:pStyle w:val="NormalnyWeb"/>
        <w:numPr>
          <w:ilvl w:val="0"/>
          <w:numId w:val="13"/>
        </w:numPr>
        <w:spacing w:before="0" w:beforeAutospacing="0" w:after="150" w:afterAutospacing="0"/>
        <w:rPr>
          <w:rFonts w:asciiTheme="minorHAnsi" w:hAnsiTheme="minorHAnsi" w:cstheme="minorHAnsi"/>
        </w:rPr>
      </w:pPr>
      <w:r w:rsidRPr="00802469">
        <w:rPr>
          <w:rFonts w:asciiTheme="minorHAnsi" w:hAnsiTheme="minorHAnsi" w:cstheme="minorHAnsi"/>
        </w:rPr>
        <w:t>Przedstawiciele mediów oraz publiczność przed wejściem na salę rozpraw, mogą zostać poddani ponownej kontroli przez służbę ochrony.</w:t>
      </w:r>
    </w:p>
    <w:p w14:paraId="5BDFB6DF" w14:textId="77777777" w:rsidR="00E71E38"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10</w:t>
      </w:r>
    </w:p>
    <w:p w14:paraId="593EFD1C" w14:textId="3077705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t>Przy salach rozpraw, w których toczyć się będą posiedzenia o tzw. „podwyższonym stopniu ryzyka” lub z wyłączeniem jawności, mogą zostać wyznaczone strefy bezpieczeństwa, w których poruszać się mogą jedynie osoby związane bezpośrednio z toczącym się postępowaniem oraz służba ochrony i Policja Sądowa.</w:t>
      </w:r>
    </w:p>
    <w:p w14:paraId="6080EE6A"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11</w:t>
      </w:r>
    </w:p>
    <w:p w14:paraId="4C114731" w14:textId="552D8971" w:rsidR="005453FF" w:rsidRPr="00802469" w:rsidRDefault="005453FF" w:rsidP="00802469">
      <w:pPr>
        <w:pStyle w:val="NormalnyWeb"/>
        <w:numPr>
          <w:ilvl w:val="0"/>
          <w:numId w:val="16"/>
        </w:numPr>
        <w:shd w:val="clear" w:color="auto" w:fill="FFFFFF"/>
        <w:spacing w:after="150"/>
        <w:rPr>
          <w:rFonts w:asciiTheme="minorHAnsi" w:hAnsiTheme="minorHAnsi" w:cstheme="minorHAnsi"/>
        </w:rPr>
      </w:pPr>
      <w:r w:rsidRPr="00802469">
        <w:rPr>
          <w:rFonts w:asciiTheme="minorHAnsi" w:hAnsiTheme="minorHAnsi" w:cstheme="minorHAnsi"/>
        </w:rPr>
        <w:t>Firmy usługowe przed rozpoczęciem prac w Sądzie, mają obowiązek przesłać lub przekazać kierownikowi komórki organizacyjnej zlecającej prace imienny wykaz pracowników, którzy będą wykonywać prace na terenie Sądu, co najmniej 4 dni przed terminem przystąpienia do prac.</w:t>
      </w:r>
    </w:p>
    <w:p w14:paraId="4DE5063B" w14:textId="187F5A51" w:rsidR="005453FF" w:rsidRPr="00802469" w:rsidRDefault="005453FF" w:rsidP="00802469">
      <w:pPr>
        <w:pStyle w:val="NormalnyWeb"/>
        <w:numPr>
          <w:ilvl w:val="0"/>
          <w:numId w:val="16"/>
        </w:numPr>
        <w:shd w:val="clear" w:color="auto" w:fill="FFFFFF"/>
        <w:spacing w:after="150"/>
        <w:rPr>
          <w:rFonts w:asciiTheme="minorHAnsi" w:hAnsiTheme="minorHAnsi" w:cstheme="minorHAnsi"/>
        </w:rPr>
      </w:pPr>
      <w:r w:rsidRPr="00802469">
        <w:rPr>
          <w:rFonts w:asciiTheme="minorHAnsi" w:hAnsiTheme="minorHAnsi" w:cstheme="minorHAnsi"/>
        </w:rPr>
        <w:t xml:space="preserve">Kierownik komórki organizacyjnej zlecającej prace przesyła wykaz, o którym mowa w ust. 1 do Oddziału Gospodarczego, co najmniej 2 dni przed rozpoczęciem prac. </w:t>
      </w:r>
    </w:p>
    <w:p w14:paraId="662CE0B2" w14:textId="29620C1A" w:rsidR="005453FF" w:rsidRPr="00802469" w:rsidRDefault="005453FF" w:rsidP="00802469">
      <w:pPr>
        <w:pStyle w:val="NormalnyWeb"/>
        <w:numPr>
          <w:ilvl w:val="0"/>
          <w:numId w:val="16"/>
        </w:numPr>
        <w:shd w:val="clear" w:color="auto" w:fill="FFFFFF"/>
        <w:spacing w:after="150"/>
        <w:rPr>
          <w:rFonts w:asciiTheme="minorHAnsi" w:hAnsiTheme="minorHAnsi" w:cstheme="minorHAnsi"/>
        </w:rPr>
      </w:pPr>
      <w:r w:rsidRPr="00802469">
        <w:rPr>
          <w:rFonts w:asciiTheme="minorHAnsi" w:hAnsiTheme="minorHAnsi" w:cstheme="minorHAnsi"/>
        </w:rPr>
        <w:t>Oddział Gospodarczy przekazuje wykaz, o którym mowa w ust. 1, służbie ochrony.</w:t>
      </w:r>
    </w:p>
    <w:p w14:paraId="4D475124" w14:textId="57267555" w:rsidR="0045371F" w:rsidRPr="00802469" w:rsidRDefault="005453FF" w:rsidP="00802469">
      <w:pPr>
        <w:pStyle w:val="NormalnyWeb"/>
        <w:numPr>
          <w:ilvl w:val="0"/>
          <w:numId w:val="16"/>
        </w:numPr>
        <w:shd w:val="clear" w:color="auto" w:fill="FFFFFF"/>
        <w:spacing w:after="150"/>
        <w:rPr>
          <w:rFonts w:asciiTheme="minorHAnsi" w:hAnsiTheme="minorHAnsi" w:cstheme="minorHAnsi"/>
        </w:rPr>
      </w:pPr>
      <w:r w:rsidRPr="00802469">
        <w:rPr>
          <w:rFonts w:asciiTheme="minorHAnsi" w:hAnsiTheme="minorHAnsi" w:cstheme="minorHAnsi"/>
        </w:rPr>
        <w:t>Zapisy § 11 ust. 1 – 3 nie dotyczą sytuacji związanych z awariami w Sądzie i w takim przypadku dopuszcza się przekazanie niezwłocznie informacji telefonicznie, a następnie przekazanie jej drogą mailową.</w:t>
      </w:r>
    </w:p>
    <w:p w14:paraId="4400BCDA"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12</w:t>
      </w:r>
    </w:p>
    <w:p w14:paraId="260EABBA" w14:textId="67C9EA1A" w:rsidR="00A46EAF" w:rsidRPr="00802469" w:rsidRDefault="0045371F" w:rsidP="00802469">
      <w:pPr>
        <w:pStyle w:val="NormalnyWeb"/>
        <w:numPr>
          <w:ilvl w:val="0"/>
          <w:numId w:val="7"/>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W Sądzie zabrania się prowadzenia jakichkolwiek akcji agitacyjnych i demonstracyjnych.</w:t>
      </w:r>
    </w:p>
    <w:p w14:paraId="647D57C4" w14:textId="77777777" w:rsidR="003D48C8" w:rsidRPr="00802469" w:rsidRDefault="003D48C8" w:rsidP="00802469">
      <w:pPr>
        <w:pStyle w:val="NormalnyWeb"/>
        <w:numPr>
          <w:ilvl w:val="0"/>
          <w:numId w:val="7"/>
        </w:numPr>
        <w:shd w:val="clear" w:color="auto" w:fill="FFFFFF"/>
        <w:spacing w:after="150"/>
        <w:rPr>
          <w:rFonts w:asciiTheme="minorHAnsi" w:hAnsiTheme="minorHAnsi" w:cstheme="minorHAnsi"/>
        </w:rPr>
      </w:pPr>
      <w:r w:rsidRPr="00802469">
        <w:rPr>
          <w:rFonts w:asciiTheme="minorHAnsi" w:hAnsiTheme="minorHAnsi" w:cstheme="minorHAnsi"/>
        </w:rPr>
        <w:t>Zorganizowane grupy osób, mogą wejść do Sądu po wcześniejszym uzyskaniu pisemnej zgody Prezesa Sądu i Dyrektora Sądu. Po uzyskaniu pisemnej zgody kierownik komórki organizacyjnej odpowiadającej za organizację wejścia do Sądu grupy osób, informuje Oddział Gospodarczy co najmniej 2 dni przed planowanym wejściem.</w:t>
      </w:r>
    </w:p>
    <w:p w14:paraId="379CD6BE" w14:textId="77777777" w:rsidR="003D48C8" w:rsidRPr="00802469" w:rsidRDefault="003D48C8" w:rsidP="00802469">
      <w:pPr>
        <w:pStyle w:val="NormalnyWeb"/>
        <w:numPr>
          <w:ilvl w:val="0"/>
          <w:numId w:val="7"/>
        </w:numPr>
        <w:shd w:val="clear" w:color="auto" w:fill="FFFFFF"/>
        <w:spacing w:after="150"/>
        <w:rPr>
          <w:rFonts w:asciiTheme="minorHAnsi" w:hAnsiTheme="minorHAnsi" w:cstheme="minorHAnsi"/>
        </w:rPr>
      </w:pPr>
      <w:r w:rsidRPr="00802469">
        <w:rPr>
          <w:rFonts w:asciiTheme="minorHAnsi" w:hAnsiTheme="minorHAnsi" w:cstheme="minorHAnsi"/>
        </w:rPr>
        <w:t>Oddział Gospodarczy informuje służbę ochrony o wizycie zorganizowanej grupy osób w Sądzie.</w:t>
      </w:r>
    </w:p>
    <w:p w14:paraId="6EC682AC"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13</w:t>
      </w:r>
    </w:p>
    <w:p w14:paraId="547ED4A5" w14:textId="77777777" w:rsidR="00A46EAF" w:rsidRPr="00802469" w:rsidRDefault="0045371F" w:rsidP="00802469">
      <w:pPr>
        <w:pStyle w:val="NormalnyWeb"/>
        <w:numPr>
          <w:ilvl w:val="0"/>
          <w:numId w:val="8"/>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Handel obnośny i akwizycja są w Sądzie zakazane.</w:t>
      </w:r>
    </w:p>
    <w:p w14:paraId="29E6085A" w14:textId="6EB8F12D" w:rsidR="00A46EAF" w:rsidRPr="00802469" w:rsidRDefault="0045371F" w:rsidP="00802469">
      <w:pPr>
        <w:pStyle w:val="NormalnyWeb"/>
        <w:numPr>
          <w:ilvl w:val="0"/>
          <w:numId w:val="8"/>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lastRenderedPageBreak/>
        <w:t>Służba ochrony jest zobowiązana do aktywnego przeciwdziałania handlowi obnośnemu i akwizycji</w:t>
      </w:r>
      <w:r w:rsidR="003D48C8" w:rsidRPr="00802469">
        <w:rPr>
          <w:rFonts w:asciiTheme="minorHAnsi" w:hAnsiTheme="minorHAnsi" w:cstheme="minorHAnsi"/>
        </w:rPr>
        <w:t xml:space="preserve"> poprzez poinformowanie zauważonych osób o zakazie.</w:t>
      </w:r>
    </w:p>
    <w:p w14:paraId="1F4F23A1" w14:textId="77777777" w:rsidR="000728F1"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14</w:t>
      </w:r>
    </w:p>
    <w:p w14:paraId="2D860C2E" w14:textId="4C7201D1"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t xml:space="preserve">Zabrania się wprowadzania do Sądu zwierząt, za wyjątkiem psa </w:t>
      </w:r>
      <w:r w:rsidR="003D48C8" w:rsidRPr="00802469">
        <w:rPr>
          <w:rFonts w:asciiTheme="minorHAnsi" w:hAnsiTheme="minorHAnsi" w:cstheme="minorHAnsi"/>
        </w:rPr>
        <w:t xml:space="preserve">przewodnika </w:t>
      </w:r>
      <w:r w:rsidRPr="00802469">
        <w:rPr>
          <w:rFonts w:asciiTheme="minorHAnsi" w:hAnsiTheme="minorHAnsi" w:cstheme="minorHAnsi"/>
        </w:rPr>
        <w:t xml:space="preserve">z pomocy którego korzystają osoby </w:t>
      </w:r>
      <w:r w:rsidR="003D48C8" w:rsidRPr="00802469">
        <w:rPr>
          <w:rFonts w:asciiTheme="minorHAnsi" w:hAnsiTheme="minorHAnsi" w:cstheme="minorHAnsi"/>
        </w:rPr>
        <w:t xml:space="preserve">niewidome. </w:t>
      </w:r>
    </w:p>
    <w:p w14:paraId="0A8E1F33"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15</w:t>
      </w:r>
    </w:p>
    <w:p w14:paraId="094F9CE1" w14:textId="7777777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t>W Sądzie obowiązuje bezwzględny zakaz palenia wyrobów tytoniowych oraz papierosów elektronicznych, spożywania alkoholu i środków odurzających.</w:t>
      </w:r>
    </w:p>
    <w:p w14:paraId="09AE8956" w14:textId="77777777" w:rsidR="00802469" w:rsidRDefault="00802469" w:rsidP="00802469">
      <w:pPr>
        <w:pStyle w:val="NormalnyWeb"/>
        <w:shd w:val="clear" w:color="auto" w:fill="FFFFFF"/>
        <w:spacing w:before="0" w:beforeAutospacing="0" w:after="150" w:afterAutospacing="0"/>
        <w:ind w:left="708"/>
        <w:rPr>
          <w:rFonts w:asciiTheme="minorHAnsi" w:hAnsiTheme="minorHAnsi" w:cstheme="minorHAnsi"/>
        </w:rPr>
      </w:pPr>
    </w:p>
    <w:p w14:paraId="4E4223CD" w14:textId="19B9D860"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t>§ 16</w:t>
      </w:r>
    </w:p>
    <w:p w14:paraId="293EA163" w14:textId="331B163A" w:rsidR="003D48C8"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xml:space="preserve">Na terenie Sądu należy zachowywać się w sposób odpowiadający powadze </w:t>
      </w:r>
      <w:r w:rsidR="000728F1" w:rsidRPr="00802469">
        <w:rPr>
          <w:rFonts w:asciiTheme="minorHAnsi" w:hAnsiTheme="minorHAnsi" w:cstheme="minorHAnsi"/>
        </w:rPr>
        <w:t>urzędu</w:t>
      </w:r>
      <w:r w:rsidR="003D48C8" w:rsidRPr="00802469">
        <w:rPr>
          <w:rFonts w:asciiTheme="minorHAnsi" w:hAnsiTheme="minorHAnsi" w:cstheme="minorHAnsi"/>
        </w:rPr>
        <w:t>, w tym poprzez odpowiedni strój</w:t>
      </w:r>
      <w:r w:rsidRPr="00802469">
        <w:rPr>
          <w:rFonts w:asciiTheme="minorHAnsi" w:hAnsiTheme="minorHAnsi" w:cstheme="minorHAnsi"/>
        </w:rPr>
        <w:t>.</w:t>
      </w:r>
    </w:p>
    <w:p w14:paraId="561ADFB0" w14:textId="3F1863AC" w:rsidR="0045371F" w:rsidRPr="00802469" w:rsidRDefault="0045371F" w:rsidP="00802469">
      <w:pPr>
        <w:pStyle w:val="NormalnyWeb"/>
        <w:shd w:val="clear" w:color="auto" w:fill="FFFFFF"/>
        <w:spacing w:before="0" w:beforeAutospacing="0" w:after="150" w:afterAutospacing="0"/>
        <w:rPr>
          <w:rStyle w:val="Pogrubienie"/>
          <w:rFonts w:asciiTheme="minorHAnsi" w:hAnsiTheme="minorHAnsi" w:cstheme="minorHAnsi"/>
          <w:bCs w:val="0"/>
        </w:rPr>
      </w:pPr>
      <w:r w:rsidRPr="00802469">
        <w:rPr>
          <w:rFonts w:asciiTheme="minorHAnsi" w:hAnsiTheme="minorHAnsi" w:cstheme="minorHAnsi"/>
        </w:rPr>
        <w:br/>
      </w:r>
      <w:r w:rsidRPr="00802469">
        <w:rPr>
          <w:rStyle w:val="Pogrubienie"/>
          <w:rFonts w:asciiTheme="minorHAnsi" w:hAnsiTheme="minorHAnsi" w:cstheme="minorHAnsi"/>
          <w:bCs w:val="0"/>
        </w:rPr>
        <w:t>§ 17</w:t>
      </w:r>
      <w:bookmarkStart w:id="0" w:name="_GoBack"/>
      <w:bookmarkEnd w:id="0"/>
    </w:p>
    <w:p w14:paraId="4ACB3436" w14:textId="6FA8C6DF" w:rsidR="003D48C8" w:rsidRPr="00802469" w:rsidRDefault="003D48C8"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Osoby odwiedzające Sąd, mają możliwość pozostawienia okryć wierzchnich i bagażu w szatni znajdującej się na parterze budynku przy wejściu głównym.</w:t>
      </w:r>
    </w:p>
    <w:p w14:paraId="38E25312" w14:textId="77777777" w:rsidR="00195E39" w:rsidRPr="00802469" w:rsidRDefault="00195E39" w:rsidP="00802469">
      <w:pPr>
        <w:pStyle w:val="NormalnyWeb"/>
        <w:shd w:val="clear" w:color="auto" w:fill="FFFFFF"/>
        <w:spacing w:before="0" w:beforeAutospacing="0" w:after="150" w:afterAutospacing="0"/>
        <w:rPr>
          <w:rFonts w:asciiTheme="minorHAnsi" w:hAnsiTheme="minorHAnsi" w:cstheme="minorHAnsi"/>
        </w:rPr>
      </w:pPr>
    </w:p>
    <w:p w14:paraId="4B05B7F1" w14:textId="1C98CD69" w:rsidR="003D48C8" w:rsidRPr="00802469" w:rsidRDefault="003D48C8"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b/>
        </w:rPr>
        <w:t>§ 18</w:t>
      </w:r>
    </w:p>
    <w:p w14:paraId="7B223B17" w14:textId="77777777" w:rsidR="000728F1" w:rsidRPr="00802469" w:rsidRDefault="0045371F" w:rsidP="00802469">
      <w:pPr>
        <w:pStyle w:val="NormalnyWeb"/>
        <w:numPr>
          <w:ilvl w:val="0"/>
          <w:numId w:val="9"/>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Osoby wchodzące do Sądu mają obowiązek podporządkować się poleceniom służby ochrony lub Policji Sądowej, pod rygorem nakazu opuszczenia Sądu.</w:t>
      </w:r>
    </w:p>
    <w:p w14:paraId="600449BD" w14:textId="26F48473" w:rsidR="0045371F" w:rsidRPr="00802469" w:rsidRDefault="0045371F" w:rsidP="00802469">
      <w:pPr>
        <w:pStyle w:val="NormalnyWeb"/>
        <w:numPr>
          <w:ilvl w:val="0"/>
          <w:numId w:val="9"/>
        </w:numPr>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W przypadku osób niestosujących się do postanowień niniejszego Zarządzenia, służba ochrony lub Policja Sądowa mają obowiązek, w granicach posiadanych uprawnień, zastosować odpowiednie środki i podjąć działania wymuszające respektowanie obowiązujących zasad bezpieczeństwa i porządku w Sądzie.</w:t>
      </w:r>
    </w:p>
    <w:p w14:paraId="4475AAF0" w14:textId="77777777" w:rsidR="00195E39" w:rsidRPr="00802469" w:rsidRDefault="0045371F" w:rsidP="00802469">
      <w:pPr>
        <w:pStyle w:val="NormalnyWeb"/>
        <w:shd w:val="clear" w:color="auto" w:fill="FFFFFF"/>
        <w:spacing w:before="0" w:beforeAutospacing="0" w:after="150" w:afterAutospacing="0"/>
        <w:rPr>
          <w:rStyle w:val="Pogrubienie"/>
          <w:rFonts w:asciiTheme="minorHAnsi" w:hAnsiTheme="minorHAnsi" w:cstheme="minorHAnsi"/>
          <w:bCs w:val="0"/>
        </w:rPr>
      </w:pPr>
      <w:r w:rsidRPr="00802469">
        <w:rPr>
          <w:rFonts w:asciiTheme="minorHAnsi" w:hAnsiTheme="minorHAnsi" w:cstheme="minorHAnsi"/>
        </w:rPr>
        <w:br/>
      </w:r>
      <w:r w:rsidRPr="00802469">
        <w:rPr>
          <w:rStyle w:val="Pogrubienie"/>
          <w:rFonts w:asciiTheme="minorHAnsi" w:hAnsiTheme="minorHAnsi" w:cstheme="minorHAnsi"/>
          <w:bCs w:val="0"/>
        </w:rPr>
        <w:t>§ 1</w:t>
      </w:r>
      <w:r w:rsidR="003D48C8" w:rsidRPr="00802469">
        <w:rPr>
          <w:rStyle w:val="Pogrubienie"/>
          <w:rFonts w:asciiTheme="minorHAnsi" w:hAnsiTheme="minorHAnsi" w:cstheme="minorHAnsi"/>
          <w:bCs w:val="0"/>
        </w:rPr>
        <w:t>9</w:t>
      </w:r>
    </w:p>
    <w:p w14:paraId="1B15BF35" w14:textId="63FFC507"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xml:space="preserve">Klauzula informacyjna </w:t>
      </w:r>
      <w:r w:rsidR="00195E39" w:rsidRPr="00802469">
        <w:rPr>
          <w:rFonts w:asciiTheme="minorHAnsi" w:hAnsiTheme="minorHAnsi" w:cstheme="minorHAnsi"/>
        </w:rPr>
        <w:t xml:space="preserve">oraz informacje </w:t>
      </w:r>
      <w:r w:rsidRPr="00802469">
        <w:rPr>
          <w:rFonts w:asciiTheme="minorHAnsi" w:hAnsiTheme="minorHAnsi" w:cstheme="minorHAnsi"/>
        </w:rPr>
        <w:t>dotycząc</w:t>
      </w:r>
      <w:r w:rsidR="00195E39" w:rsidRPr="00802469">
        <w:rPr>
          <w:rFonts w:asciiTheme="minorHAnsi" w:hAnsiTheme="minorHAnsi" w:cstheme="minorHAnsi"/>
        </w:rPr>
        <w:t>e</w:t>
      </w:r>
      <w:r w:rsidRPr="00802469">
        <w:rPr>
          <w:rFonts w:asciiTheme="minorHAnsi" w:hAnsiTheme="minorHAnsi" w:cstheme="minorHAnsi"/>
        </w:rPr>
        <w:t xml:space="preserve"> </w:t>
      </w:r>
      <w:r w:rsidR="003D48C8" w:rsidRPr="00802469">
        <w:rPr>
          <w:rFonts w:asciiTheme="minorHAnsi" w:hAnsiTheme="minorHAnsi" w:cstheme="minorHAnsi"/>
        </w:rPr>
        <w:t xml:space="preserve">monitoringu wizyjnego </w:t>
      </w:r>
      <w:r w:rsidRPr="00802469">
        <w:rPr>
          <w:rFonts w:asciiTheme="minorHAnsi" w:hAnsiTheme="minorHAnsi" w:cstheme="minorHAnsi"/>
        </w:rPr>
        <w:t>dostępn</w:t>
      </w:r>
      <w:r w:rsidR="00195E39" w:rsidRPr="00802469">
        <w:rPr>
          <w:rFonts w:asciiTheme="minorHAnsi" w:hAnsiTheme="minorHAnsi" w:cstheme="minorHAnsi"/>
        </w:rPr>
        <w:t>e</w:t>
      </w:r>
      <w:r w:rsidRPr="00802469">
        <w:rPr>
          <w:rFonts w:asciiTheme="minorHAnsi" w:hAnsiTheme="minorHAnsi" w:cstheme="minorHAnsi"/>
        </w:rPr>
        <w:t xml:space="preserve"> </w:t>
      </w:r>
      <w:r w:rsidR="00195E39" w:rsidRPr="00802469">
        <w:rPr>
          <w:rFonts w:asciiTheme="minorHAnsi" w:hAnsiTheme="minorHAnsi" w:cstheme="minorHAnsi"/>
        </w:rPr>
        <w:t>są</w:t>
      </w:r>
      <w:r w:rsidRPr="00802469">
        <w:rPr>
          <w:rFonts w:asciiTheme="minorHAnsi" w:hAnsiTheme="minorHAnsi" w:cstheme="minorHAnsi"/>
        </w:rPr>
        <w:t xml:space="preserve"> na stronie </w:t>
      </w:r>
      <w:r w:rsidR="003D48C8" w:rsidRPr="00802469">
        <w:rPr>
          <w:rFonts w:asciiTheme="minorHAnsi" w:hAnsiTheme="minorHAnsi" w:cstheme="minorHAnsi"/>
        </w:rPr>
        <w:t>internetowej Sądu Apelacyjnego w Białymstoku</w:t>
      </w:r>
      <w:r w:rsidRPr="00802469">
        <w:rPr>
          <w:rFonts w:asciiTheme="minorHAnsi" w:hAnsiTheme="minorHAnsi" w:cstheme="minorHAnsi"/>
        </w:rPr>
        <w:t xml:space="preserve"> w zakładce „RODO” oraz </w:t>
      </w:r>
      <w:r w:rsidR="00E71E38" w:rsidRPr="00802469">
        <w:rPr>
          <w:rFonts w:asciiTheme="minorHAnsi" w:hAnsiTheme="minorHAnsi" w:cstheme="minorHAnsi"/>
        </w:rPr>
        <w:t xml:space="preserve">na </w:t>
      </w:r>
      <w:r w:rsidR="000728F1" w:rsidRPr="00802469">
        <w:rPr>
          <w:rFonts w:asciiTheme="minorHAnsi" w:hAnsiTheme="minorHAnsi" w:cstheme="minorHAnsi"/>
        </w:rPr>
        <w:t>tablicy ogłoszeń</w:t>
      </w:r>
      <w:r w:rsidRPr="00802469">
        <w:rPr>
          <w:rFonts w:asciiTheme="minorHAnsi" w:hAnsiTheme="minorHAnsi" w:cstheme="minorHAnsi"/>
        </w:rPr>
        <w:t>.</w:t>
      </w:r>
    </w:p>
    <w:p w14:paraId="2C551691" w14:textId="78D6557E"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br/>
      </w:r>
      <w:r w:rsidRPr="00802469">
        <w:rPr>
          <w:rStyle w:val="Pogrubienie"/>
          <w:rFonts w:asciiTheme="minorHAnsi" w:hAnsiTheme="minorHAnsi" w:cstheme="minorHAnsi"/>
          <w:bCs w:val="0"/>
        </w:rPr>
        <w:t xml:space="preserve">§ </w:t>
      </w:r>
      <w:r w:rsidR="003D48C8" w:rsidRPr="00802469">
        <w:rPr>
          <w:rStyle w:val="Pogrubienie"/>
          <w:rFonts w:asciiTheme="minorHAnsi" w:hAnsiTheme="minorHAnsi" w:cstheme="minorHAnsi"/>
          <w:bCs w:val="0"/>
        </w:rPr>
        <w:t>20</w:t>
      </w:r>
    </w:p>
    <w:p w14:paraId="574F88FF" w14:textId="2D0CED7E"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Fonts w:asciiTheme="minorHAnsi" w:hAnsiTheme="minorHAnsi" w:cstheme="minorHAnsi"/>
        </w:rPr>
        <w:t xml:space="preserve">Nadzór nad realizacją Zarządzenia sprawuje </w:t>
      </w:r>
      <w:r w:rsidR="00195E39" w:rsidRPr="00802469">
        <w:rPr>
          <w:rFonts w:asciiTheme="minorHAnsi" w:hAnsiTheme="minorHAnsi" w:cstheme="minorHAnsi"/>
        </w:rPr>
        <w:t>K</w:t>
      </w:r>
      <w:r w:rsidRPr="00802469">
        <w:rPr>
          <w:rFonts w:asciiTheme="minorHAnsi" w:hAnsiTheme="minorHAnsi" w:cstheme="minorHAnsi"/>
        </w:rPr>
        <w:t>ierownik Oddziału Gospodarczego.</w:t>
      </w:r>
    </w:p>
    <w:p w14:paraId="319EA1DA" w14:textId="77777777" w:rsidR="00802469" w:rsidRDefault="00802469" w:rsidP="00802469">
      <w:pPr>
        <w:pStyle w:val="NormalnyWeb"/>
        <w:shd w:val="clear" w:color="auto" w:fill="FFFFFF"/>
        <w:spacing w:before="0" w:beforeAutospacing="0" w:after="150" w:afterAutospacing="0"/>
        <w:rPr>
          <w:rStyle w:val="Pogrubienie"/>
          <w:rFonts w:asciiTheme="minorHAnsi" w:hAnsiTheme="minorHAnsi" w:cstheme="minorHAnsi"/>
          <w:bCs w:val="0"/>
        </w:rPr>
      </w:pPr>
    </w:p>
    <w:p w14:paraId="2147940D" w14:textId="66A3B689" w:rsidR="0045371F" w:rsidRPr="00802469" w:rsidRDefault="0045371F" w:rsidP="00802469">
      <w:pPr>
        <w:pStyle w:val="NormalnyWeb"/>
        <w:shd w:val="clear" w:color="auto" w:fill="FFFFFF"/>
        <w:spacing w:before="0" w:beforeAutospacing="0" w:after="150" w:afterAutospacing="0"/>
        <w:rPr>
          <w:rFonts w:asciiTheme="minorHAnsi" w:hAnsiTheme="minorHAnsi" w:cstheme="minorHAnsi"/>
        </w:rPr>
      </w:pPr>
      <w:r w:rsidRPr="00802469">
        <w:rPr>
          <w:rStyle w:val="Pogrubienie"/>
          <w:rFonts w:asciiTheme="minorHAnsi" w:hAnsiTheme="minorHAnsi" w:cstheme="minorHAnsi"/>
          <w:bCs w:val="0"/>
        </w:rPr>
        <w:lastRenderedPageBreak/>
        <w:t>§ 2</w:t>
      </w:r>
      <w:r w:rsidR="003D48C8" w:rsidRPr="00802469">
        <w:rPr>
          <w:rStyle w:val="Pogrubienie"/>
          <w:rFonts w:asciiTheme="minorHAnsi" w:hAnsiTheme="minorHAnsi" w:cstheme="minorHAnsi"/>
          <w:bCs w:val="0"/>
        </w:rPr>
        <w:t>1</w:t>
      </w:r>
    </w:p>
    <w:p w14:paraId="3D003FC8" w14:textId="3E3DD6D1" w:rsidR="000728F1" w:rsidRPr="00802469" w:rsidRDefault="0045371F" w:rsidP="00802469">
      <w:pPr>
        <w:pStyle w:val="Bezodstpw"/>
        <w:numPr>
          <w:ilvl w:val="0"/>
          <w:numId w:val="17"/>
        </w:numPr>
        <w:rPr>
          <w:rFonts w:asciiTheme="minorHAnsi" w:hAnsiTheme="minorHAnsi" w:cstheme="minorHAnsi"/>
          <w:szCs w:val="24"/>
        </w:rPr>
      </w:pPr>
      <w:r w:rsidRPr="00802469">
        <w:rPr>
          <w:rFonts w:asciiTheme="minorHAnsi" w:hAnsiTheme="minorHAnsi" w:cstheme="minorHAnsi"/>
          <w:szCs w:val="24"/>
        </w:rPr>
        <w:t>T</w:t>
      </w:r>
      <w:r w:rsidR="009F2B02" w:rsidRPr="00802469">
        <w:rPr>
          <w:rFonts w:asciiTheme="minorHAnsi" w:hAnsiTheme="minorHAnsi" w:cstheme="minorHAnsi"/>
          <w:szCs w:val="24"/>
        </w:rPr>
        <w:t>raci moc Zarządzenie Nr 022/20/A/09 Prezesa Sądu Apelacyjnego w Białymstoku z dnia 19 listopada 2009 r. w sprawie wprowadzenia Regulaminu bezpieczeństwa i porządku w Sądzie Apelacyjnym w Białymstoku.</w:t>
      </w:r>
    </w:p>
    <w:p w14:paraId="70B42CB8" w14:textId="619C2CBB" w:rsidR="000728F1" w:rsidRPr="00802469" w:rsidRDefault="0045371F" w:rsidP="00802469">
      <w:pPr>
        <w:pStyle w:val="Bezodstpw"/>
        <w:numPr>
          <w:ilvl w:val="0"/>
          <w:numId w:val="17"/>
        </w:numPr>
        <w:rPr>
          <w:rFonts w:asciiTheme="minorHAnsi" w:hAnsiTheme="minorHAnsi" w:cstheme="minorHAnsi"/>
          <w:szCs w:val="24"/>
        </w:rPr>
      </w:pPr>
      <w:r w:rsidRPr="00802469">
        <w:rPr>
          <w:rFonts w:asciiTheme="minorHAnsi" w:hAnsiTheme="minorHAnsi" w:cstheme="minorHAnsi"/>
          <w:szCs w:val="24"/>
        </w:rPr>
        <w:t xml:space="preserve">Zarządzenie wchodzi w życie </w:t>
      </w:r>
      <w:r w:rsidR="000728F1" w:rsidRPr="00802469">
        <w:rPr>
          <w:rFonts w:asciiTheme="minorHAnsi" w:hAnsiTheme="minorHAnsi" w:cstheme="minorHAnsi"/>
          <w:szCs w:val="24"/>
        </w:rPr>
        <w:t xml:space="preserve">z dniem podpisania </w:t>
      </w:r>
      <w:r w:rsidRPr="00802469">
        <w:rPr>
          <w:rFonts w:asciiTheme="minorHAnsi" w:hAnsiTheme="minorHAnsi" w:cstheme="minorHAnsi"/>
          <w:szCs w:val="24"/>
        </w:rPr>
        <w:t>i podlega:</w:t>
      </w:r>
    </w:p>
    <w:p w14:paraId="3072E9B6" w14:textId="50CBB1E7" w:rsidR="000728F1" w:rsidRPr="00802469" w:rsidRDefault="0045371F" w:rsidP="00802469">
      <w:pPr>
        <w:pStyle w:val="Bezodstpw"/>
        <w:numPr>
          <w:ilvl w:val="0"/>
          <w:numId w:val="18"/>
        </w:numPr>
        <w:rPr>
          <w:rFonts w:asciiTheme="minorHAnsi" w:hAnsiTheme="minorHAnsi" w:cstheme="minorHAnsi"/>
          <w:szCs w:val="24"/>
        </w:rPr>
      </w:pPr>
      <w:r w:rsidRPr="00802469">
        <w:rPr>
          <w:rFonts w:asciiTheme="minorHAnsi" w:hAnsiTheme="minorHAnsi" w:cstheme="minorHAnsi"/>
          <w:szCs w:val="24"/>
        </w:rPr>
        <w:t>publikacji w Biuletynie Informacji Publicznej Sądu Apelacyjnego w</w:t>
      </w:r>
      <w:r w:rsidR="000728F1" w:rsidRPr="00802469">
        <w:rPr>
          <w:rFonts w:asciiTheme="minorHAnsi" w:hAnsiTheme="minorHAnsi" w:cstheme="minorHAnsi"/>
          <w:szCs w:val="24"/>
        </w:rPr>
        <w:t xml:space="preserve"> Białymstoku</w:t>
      </w:r>
      <w:r w:rsidRPr="00802469">
        <w:rPr>
          <w:rFonts w:asciiTheme="minorHAnsi" w:hAnsiTheme="minorHAnsi" w:cstheme="minorHAnsi"/>
          <w:szCs w:val="24"/>
        </w:rPr>
        <w:t>;</w:t>
      </w:r>
    </w:p>
    <w:p w14:paraId="3CCF65E5" w14:textId="4F78866C" w:rsidR="000728F1" w:rsidRPr="00802469" w:rsidRDefault="0045371F" w:rsidP="00802469">
      <w:pPr>
        <w:pStyle w:val="Bezodstpw"/>
        <w:numPr>
          <w:ilvl w:val="0"/>
          <w:numId w:val="18"/>
        </w:numPr>
        <w:rPr>
          <w:rFonts w:asciiTheme="minorHAnsi" w:hAnsiTheme="minorHAnsi" w:cstheme="minorHAnsi"/>
          <w:szCs w:val="24"/>
        </w:rPr>
      </w:pPr>
      <w:r w:rsidRPr="00802469">
        <w:rPr>
          <w:rFonts w:asciiTheme="minorHAnsi" w:hAnsiTheme="minorHAnsi" w:cstheme="minorHAnsi"/>
          <w:szCs w:val="24"/>
        </w:rPr>
        <w:t>publikacji na portalu wewnętrznym Sądu Apelacyjnego w</w:t>
      </w:r>
      <w:r w:rsidR="000728F1" w:rsidRPr="00802469">
        <w:rPr>
          <w:rFonts w:asciiTheme="minorHAnsi" w:hAnsiTheme="minorHAnsi" w:cstheme="minorHAnsi"/>
          <w:szCs w:val="24"/>
        </w:rPr>
        <w:t xml:space="preserve"> Białymstoku</w:t>
      </w:r>
      <w:r w:rsidRPr="00802469">
        <w:rPr>
          <w:rFonts w:asciiTheme="minorHAnsi" w:hAnsiTheme="minorHAnsi" w:cstheme="minorHAnsi"/>
          <w:szCs w:val="24"/>
        </w:rPr>
        <w:t>;</w:t>
      </w:r>
    </w:p>
    <w:p w14:paraId="52078266" w14:textId="73FE0B38" w:rsidR="0045371F" w:rsidRPr="00802469" w:rsidRDefault="0045371F" w:rsidP="00802469">
      <w:pPr>
        <w:pStyle w:val="Bezodstpw"/>
        <w:numPr>
          <w:ilvl w:val="0"/>
          <w:numId w:val="18"/>
        </w:numPr>
        <w:rPr>
          <w:rFonts w:asciiTheme="minorHAnsi" w:hAnsiTheme="minorHAnsi" w:cstheme="minorHAnsi"/>
          <w:szCs w:val="24"/>
        </w:rPr>
      </w:pPr>
      <w:r w:rsidRPr="00802469">
        <w:rPr>
          <w:rFonts w:asciiTheme="minorHAnsi" w:hAnsiTheme="minorHAnsi" w:cstheme="minorHAnsi"/>
          <w:szCs w:val="24"/>
        </w:rPr>
        <w:t>umieszczeniu na tablicy ogłoszeń w budynkach Sądu Apelacyjnego w</w:t>
      </w:r>
      <w:r w:rsidR="000728F1" w:rsidRPr="00802469">
        <w:rPr>
          <w:rFonts w:asciiTheme="minorHAnsi" w:hAnsiTheme="minorHAnsi" w:cstheme="minorHAnsi"/>
          <w:szCs w:val="24"/>
        </w:rPr>
        <w:t xml:space="preserve"> Białymstoku</w:t>
      </w:r>
      <w:r w:rsidRPr="00802469">
        <w:rPr>
          <w:rFonts w:asciiTheme="minorHAnsi" w:hAnsiTheme="minorHAnsi" w:cstheme="minorHAnsi"/>
          <w:szCs w:val="24"/>
        </w:rPr>
        <w:t>.</w:t>
      </w:r>
    </w:p>
    <w:p w14:paraId="57D1A69A" w14:textId="0F0AA382" w:rsidR="00C368E3" w:rsidRPr="00215C07" w:rsidRDefault="00C368E3" w:rsidP="00441270">
      <w:pPr>
        <w:rPr>
          <w:rFonts w:ascii="Cambria" w:hAnsi="Cambria"/>
          <w:szCs w:val="24"/>
        </w:rPr>
      </w:pPr>
    </w:p>
    <w:p w14:paraId="6E4BBE9A" w14:textId="77777777" w:rsidR="00802469" w:rsidRDefault="00802469" w:rsidP="00CC0464">
      <w:pPr>
        <w:rPr>
          <w:rFonts w:asciiTheme="minorHAnsi" w:hAnsiTheme="minorHAnsi" w:cstheme="minorHAnsi"/>
          <w:b/>
          <w:szCs w:val="24"/>
        </w:rPr>
      </w:pPr>
      <w:bookmarkStart w:id="1" w:name="_Hlk134606756"/>
    </w:p>
    <w:p w14:paraId="1294DBAA" w14:textId="2DB405B5" w:rsidR="00CC0464" w:rsidRPr="00802469" w:rsidRDefault="00CC0464" w:rsidP="00CC0464">
      <w:pPr>
        <w:rPr>
          <w:rFonts w:asciiTheme="minorHAnsi" w:hAnsiTheme="minorHAnsi" w:cstheme="minorHAnsi"/>
          <w:b/>
          <w:szCs w:val="24"/>
        </w:rPr>
      </w:pPr>
      <w:r w:rsidRPr="00802469">
        <w:rPr>
          <w:rFonts w:asciiTheme="minorHAnsi" w:hAnsiTheme="minorHAnsi" w:cstheme="minorHAnsi"/>
          <w:b/>
          <w:szCs w:val="24"/>
        </w:rPr>
        <w:t>Dyrektor Sądu Apelacyjnego</w:t>
      </w:r>
    </w:p>
    <w:p w14:paraId="5DF6B9D0" w14:textId="77777777" w:rsidR="00802469" w:rsidRDefault="00CC0464" w:rsidP="00802469">
      <w:pPr>
        <w:rPr>
          <w:rFonts w:asciiTheme="minorHAnsi" w:hAnsiTheme="minorHAnsi" w:cstheme="minorHAnsi"/>
          <w:b/>
          <w:szCs w:val="24"/>
        </w:rPr>
      </w:pPr>
      <w:r w:rsidRPr="00802469">
        <w:rPr>
          <w:rFonts w:asciiTheme="minorHAnsi" w:hAnsiTheme="minorHAnsi" w:cstheme="minorHAnsi"/>
          <w:b/>
          <w:szCs w:val="24"/>
        </w:rPr>
        <w:t>Grażyna Lewicka</w:t>
      </w:r>
    </w:p>
    <w:p w14:paraId="262F6D7F" w14:textId="5D433B73" w:rsidR="00CC0464" w:rsidRPr="00802469" w:rsidRDefault="00CC0464" w:rsidP="00802469">
      <w:pPr>
        <w:rPr>
          <w:rFonts w:asciiTheme="minorHAnsi" w:hAnsiTheme="minorHAnsi" w:cstheme="minorHAnsi"/>
          <w:szCs w:val="24"/>
        </w:rPr>
      </w:pPr>
      <w:r w:rsidRPr="00802469">
        <w:rPr>
          <w:rFonts w:asciiTheme="minorHAnsi" w:hAnsiTheme="minorHAnsi" w:cstheme="minorHAnsi"/>
          <w:szCs w:val="24"/>
        </w:rPr>
        <w:t>(podpisano elektronicznie)</w:t>
      </w:r>
    </w:p>
    <w:bookmarkEnd w:id="1"/>
    <w:p w14:paraId="0D938DFA" w14:textId="70BA7A39" w:rsidR="009F2B02" w:rsidRPr="00802469" w:rsidRDefault="009F2B02" w:rsidP="00CC0464">
      <w:pPr>
        <w:ind w:left="660"/>
        <w:rPr>
          <w:rFonts w:asciiTheme="minorHAnsi" w:hAnsiTheme="minorHAnsi" w:cstheme="minorHAnsi"/>
          <w:szCs w:val="24"/>
        </w:rPr>
      </w:pPr>
    </w:p>
    <w:p w14:paraId="21541EBD" w14:textId="38CD398F" w:rsidR="00802469" w:rsidRPr="00802469" w:rsidRDefault="00802469" w:rsidP="00802469">
      <w:pPr>
        <w:rPr>
          <w:rFonts w:asciiTheme="minorHAnsi" w:hAnsiTheme="minorHAnsi" w:cstheme="minorHAnsi"/>
          <w:b/>
          <w:szCs w:val="24"/>
        </w:rPr>
      </w:pPr>
      <w:r w:rsidRPr="00802469">
        <w:rPr>
          <w:rFonts w:asciiTheme="minorHAnsi" w:hAnsiTheme="minorHAnsi" w:cstheme="minorHAnsi"/>
          <w:b/>
          <w:szCs w:val="24"/>
        </w:rPr>
        <w:t>Prezes Sądu Apelacyjnego</w:t>
      </w:r>
    </w:p>
    <w:p w14:paraId="50B2303E" w14:textId="4F6E3D37" w:rsidR="00802469" w:rsidRPr="00802469" w:rsidRDefault="00802469" w:rsidP="00802469">
      <w:pPr>
        <w:rPr>
          <w:rFonts w:asciiTheme="minorHAnsi" w:hAnsiTheme="minorHAnsi" w:cstheme="minorHAnsi"/>
          <w:i/>
          <w:szCs w:val="24"/>
        </w:rPr>
      </w:pPr>
      <w:r w:rsidRPr="00802469">
        <w:rPr>
          <w:rFonts w:asciiTheme="minorHAnsi" w:hAnsiTheme="minorHAnsi" w:cstheme="minorHAnsi"/>
          <w:b/>
          <w:szCs w:val="24"/>
        </w:rPr>
        <w:t>Krzysztof Adamiak</w:t>
      </w:r>
    </w:p>
    <w:p w14:paraId="332C08FC" w14:textId="5B546BA3" w:rsidR="00802469" w:rsidRPr="00802469" w:rsidRDefault="00802469" w:rsidP="00802469">
      <w:pPr>
        <w:rPr>
          <w:rFonts w:asciiTheme="minorHAnsi" w:hAnsiTheme="minorHAnsi" w:cstheme="minorHAnsi"/>
          <w:szCs w:val="24"/>
        </w:rPr>
      </w:pPr>
      <w:r w:rsidRPr="00802469">
        <w:rPr>
          <w:rFonts w:asciiTheme="minorHAnsi" w:hAnsiTheme="minorHAnsi" w:cstheme="minorHAnsi"/>
          <w:szCs w:val="24"/>
        </w:rPr>
        <w:t>(podpisano elektronicznie)</w:t>
      </w:r>
    </w:p>
    <w:p w14:paraId="00406A23" w14:textId="423462A8" w:rsidR="009F2B02" w:rsidRDefault="009F2B02" w:rsidP="00CC0464">
      <w:pPr>
        <w:ind w:left="660"/>
        <w:rPr>
          <w:rFonts w:ascii="Cambria" w:hAnsi="Cambria"/>
          <w:b/>
          <w:sz w:val="25"/>
          <w:szCs w:val="25"/>
        </w:rPr>
      </w:pPr>
    </w:p>
    <w:sectPr w:rsidR="009F2B02" w:rsidSect="00B522B1">
      <w:headerReference w:type="default" r:id="rId8"/>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88F4F" w14:textId="77777777" w:rsidR="00930A63" w:rsidRDefault="00930A63" w:rsidP="0002490A">
      <w:pPr>
        <w:spacing w:line="240" w:lineRule="auto"/>
      </w:pPr>
      <w:r>
        <w:separator/>
      </w:r>
    </w:p>
  </w:endnote>
  <w:endnote w:type="continuationSeparator" w:id="0">
    <w:p w14:paraId="0D017143" w14:textId="77777777" w:rsidR="00930A63" w:rsidRDefault="00930A63" w:rsidP="00024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DFD5D" w14:textId="77777777" w:rsidR="00930A63" w:rsidRDefault="00930A63" w:rsidP="0002490A">
      <w:pPr>
        <w:spacing w:line="240" w:lineRule="auto"/>
      </w:pPr>
      <w:r>
        <w:separator/>
      </w:r>
    </w:p>
  </w:footnote>
  <w:footnote w:type="continuationSeparator" w:id="0">
    <w:p w14:paraId="2FC6CED5" w14:textId="77777777" w:rsidR="00930A63" w:rsidRDefault="00930A63" w:rsidP="000249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D8D33" w14:textId="2B11AE21" w:rsidR="00D223B0" w:rsidRPr="00B371CC" w:rsidRDefault="00D223B0" w:rsidP="00B522B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93CF1CA"/>
    <w:lvl w:ilvl="0">
      <w:start w:val="1"/>
      <w:numFmt w:val="decimal"/>
      <w:pStyle w:val="Listanumerowana2"/>
      <w:lvlText w:val="%1."/>
      <w:lvlJc w:val="left"/>
      <w:pPr>
        <w:tabs>
          <w:tab w:val="num" w:pos="643"/>
        </w:tabs>
        <w:ind w:left="643" w:hanging="360"/>
      </w:pPr>
    </w:lvl>
  </w:abstractNum>
  <w:abstractNum w:abstractNumId="1" w15:restartNumberingAfterBreak="0">
    <w:nsid w:val="133B6612"/>
    <w:multiLevelType w:val="hybridMultilevel"/>
    <w:tmpl w:val="7F0A41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6069C7"/>
    <w:multiLevelType w:val="hybridMultilevel"/>
    <w:tmpl w:val="7AB638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3564E5"/>
    <w:multiLevelType w:val="hybridMultilevel"/>
    <w:tmpl w:val="F80A47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8C6034"/>
    <w:multiLevelType w:val="hybridMultilevel"/>
    <w:tmpl w:val="F0882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FA27A5"/>
    <w:multiLevelType w:val="multilevel"/>
    <w:tmpl w:val="255CA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414F3D"/>
    <w:multiLevelType w:val="hybridMultilevel"/>
    <w:tmpl w:val="31201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5F2612"/>
    <w:multiLevelType w:val="hybridMultilevel"/>
    <w:tmpl w:val="5EECDC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97251FA"/>
    <w:multiLevelType w:val="multilevel"/>
    <w:tmpl w:val="5CC4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6310B6"/>
    <w:multiLevelType w:val="hybridMultilevel"/>
    <w:tmpl w:val="2312F2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1002657"/>
    <w:multiLevelType w:val="hybridMultilevel"/>
    <w:tmpl w:val="2CCC1B70"/>
    <w:lvl w:ilvl="0" w:tplc="18E45454">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7110283"/>
    <w:multiLevelType w:val="hybridMultilevel"/>
    <w:tmpl w:val="2F4011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FE0548"/>
    <w:multiLevelType w:val="hybridMultilevel"/>
    <w:tmpl w:val="9E162D12"/>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640A0E50"/>
    <w:multiLevelType w:val="hybridMultilevel"/>
    <w:tmpl w:val="6EB20D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B8C283B"/>
    <w:multiLevelType w:val="hybridMultilevel"/>
    <w:tmpl w:val="0EA4FF1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2201230"/>
    <w:multiLevelType w:val="hybridMultilevel"/>
    <w:tmpl w:val="E60E5CA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78DC5C42"/>
    <w:multiLevelType w:val="hybridMultilevel"/>
    <w:tmpl w:val="46C8F8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9DD63F6"/>
    <w:multiLevelType w:val="hybridMultilevel"/>
    <w:tmpl w:val="3ACCF3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1"/>
  </w:num>
  <w:num w:numId="3">
    <w:abstractNumId w:val="9"/>
  </w:num>
  <w:num w:numId="4">
    <w:abstractNumId w:val="1"/>
  </w:num>
  <w:num w:numId="5">
    <w:abstractNumId w:val="7"/>
  </w:num>
  <w:num w:numId="6">
    <w:abstractNumId w:val="2"/>
  </w:num>
  <w:num w:numId="7">
    <w:abstractNumId w:val="6"/>
  </w:num>
  <w:num w:numId="8">
    <w:abstractNumId w:val="16"/>
  </w:num>
  <w:num w:numId="9">
    <w:abstractNumId w:val="3"/>
  </w:num>
  <w:num w:numId="10">
    <w:abstractNumId w:val="4"/>
  </w:num>
  <w:num w:numId="11">
    <w:abstractNumId w:val="15"/>
  </w:num>
  <w:num w:numId="12">
    <w:abstractNumId w:val="8"/>
  </w:num>
  <w:num w:numId="13">
    <w:abstractNumId w:val="5"/>
  </w:num>
  <w:num w:numId="14">
    <w:abstractNumId w:val="10"/>
  </w:num>
  <w:num w:numId="15">
    <w:abstractNumId w:val="12"/>
  </w:num>
  <w:num w:numId="16">
    <w:abstractNumId w:val="13"/>
  </w:num>
  <w:num w:numId="17">
    <w:abstractNumId w:val="17"/>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90A"/>
    <w:rsid w:val="0000435B"/>
    <w:rsid w:val="000047AB"/>
    <w:rsid w:val="00015B79"/>
    <w:rsid w:val="00015EEF"/>
    <w:rsid w:val="000224E9"/>
    <w:rsid w:val="000246D6"/>
    <w:rsid w:val="0002490A"/>
    <w:rsid w:val="00027055"/>
    <w:rsid w:val="00040711"/>
    <w:rsid w:val="00046DF6"/>
    <w:rsid w:val="00051C70"/>
    <w:rsid w:val="0005442F"/>
    <w:rsid w:val="00056FC7"/>
    <w:rsid w:val="00066DE2"/>
    <w:rsid w:val="000728F1"/>
    <w:rsid w:val="00073607"/>
    <w:rsid w:val="00076287"/>
    <w:rsid w:val="00095FEA"/>
    <w:rsid w:val="00096605"/>
    <w:rsid w:val="00096B9A"/>
    <w:rsid w:val="00096DAB"/>
    <w:rsid w:val="000979C6"/>
    <w:rsid w:val="000A0C68"/>
    <w:rsid w:val="000B3B7E"/>
    <w:rsid w:val="000B3F48"/>
    <w:rsid w:val="000C542F"/>
    <w:rsid w:val="000D0E0A"/>
    <w:rsid w:val="000D5F7A"/>
    <w:rsid w:val="000E2D34"/>
    <w:rsid w:val="000E71B8"/>
    <w:rsid w:val="000F1530"/>
    <w:rsid w:val="000F24B7"/>
    <w:rsid w:val="000F3FFB"/>
    <w:rsid w:val="00100A11"/>
    <w:rsid w:val="001062C5"/>
    <w:rsid w:val="001063C9"/>
    <w:rsid w:val="001145C9"/>
    <w:rsid w:val="00114859"/>
    <w:rsid w:val="00122A86"/>
    <w:rsid w:val="0013186B"/>
    <w:rsid w:val="00131E33"/>
    <w:rsid w:val="0014166B"/>
    <w:rsid w:val="001541CB"/>
    <w:rsid w:val="00154D5B"/>
    <w:rsid w:val="001607FE"/>
    <w:rsid w:val="00166E69"/>
    <w:rsid w:val="00176A69"/>
    <w:rsid w:val="00192F78"/>
    <w:rsid w:val="00195E39"/>
    <w:rsid w:val="001B3520"/>
    <w:rsid w:val="001D12DE"/>
    <w:rsid w:val="001D1776"/>
    <w:rsid w:val="001D5806"/>
    <w:rsid w:val="001E4219"/>
    <w:rsid w:val="001E4DAF"/>
    <w:rsid w:val="001F179B"/>
    <w:rsid w:val="001F48AC"/>
    <w:rsid w:val="001F5018"/>
    <w:rsid w:val="001F5665"/>
    <w:rsid w:val="0020660F"/>
    <w:rsid w:val="00211476"/>
    <w:rsid w:val="0021571E"/>
    <w:rsid w:val="00215C07"/>
    <w:rsid w:val="002167D4"/>
    <w:rsid w:val="00224AED"/>
    <w:rsid w:val="00232FB9"/>
    <w:rsid w:val="0023522C"/>
    <w:rsid w:val="00237F26"/>
    <w:rsid w:val="00241EEC"/>
    <w:rsid w:val="00242556"/>
    <w:rsid w:val="00245CE2"/>
    <w:rsid w:val="00252CB8"/>
    <w:rsid w:val="00256D97"/>
    <w:rsid w:val="00261902"/>
    <w:rsid w:val="00271078"/>
    <w:rsid w:val="00274DA8"/>
    <w:rsid w:val="00282B9B"/>
    <w:rsid w:val="0028309A"/>
    <w:rsid w:val="00284232"/>
    <w:rsid w:val="002859B6"/>
    <w:rsid w:val="00296FB7"/>
    <w:rsid w:val="002975CE"/>
    <w:rsid w:val="002B2F88"/>
    <w:rsid w:val="002B3918"/>
    <w:rsid w:val="002B5B1C"/>
    <w:rsid w:val="002C1ED4"/>
    <w:rsid w:val="002C55F8"/>
    <w:rsid w:val="002C62D2"/>
    <w:rsid w:val="002D57C1"/>
    <w:rsid w:val="002E0ADB"/>
    <w:rsid w:val="002E110A"/>
    <w:rsid w:val="002E4A32"/>
    <w:rsid w:val="002F06E9"/>
    <w:rsid w:val="002F2E62"/>
    <w:rsid w:val="002F2FE8"/>
    <w:rsid w:val="002F6FAB"/>
    <w:rsid w:val="00303F1E"/>
    <w:rsid w:val="00304E61"/>
    <w:rsid w:val="0031009C"/>
    <w:rsid w:val="00310A1F"/>
    <w:rsid w:val="003152FF"/>
    <w:rsid w:val="0032117F"/>
    <w:rsid w:val="00324BF8"/>
    <w:rsid w:val="003276DE"/>
    <w:rsid w:val="00337E4C"/>
    <w:rsid w:val="003517DB"/>
    <w:rsid w:val="003519AC"/>
    <w:rsid w:val="00351C78"/>
    <w:rsid w:val="00351E7B"/>
    <w:rsid w:val="003533EC"/>
    <w:rsid w:val="00354E52"/>
    <w:rsid w:val="00361666"/>
    <w:rsid w:val="00361BA5"/>
    <w:rsid w:val="003720DB"/>
    <w:rsid w:val="003825E8"/>
    <w:rsid w:val="00387669"/>
    <w:rsid w:val="00391360"/>
    <w:rsid w:val="003A1E9F"/>
    <w:rsid w:val="003A439B"/>
    <w:rsid w:val="003B5FE9"/>
    <w:rsid w:val="003C2329"/>
    <w:rsid w:val="003C5FC7"/>
    <w:rsid w:val="003C7438"/>
    <w:rsid w:val="003C777D"/>
    <w:rsid w:val="003D03AA"/>
    <w:rsid w:val="003D185E"/>
    <w:rsid w:val="003D48C8"/>
    <w:rsid w:val="003E73CA"/>
    <w:rsid w:val="003F7EF8"/>
    <w:rsid w:val="00420E0E"/>
    <w:rsid w:val="00421D92"/>
    <w:rsid w:val="00434154"/>
    <w:rsid w:val="00437317"/>
    <w:rsid w:val="00441270"/>
    <w:rsid w:val="00442A14"/>
    <w:rsid w:val="00444CEF"/>
    <w:rsid w:val="0045159C"/>
    <w:rsid w:val="0045371F"/>
    <w:rsid w:val="00453BB6"/>
    <w:rsid w:val="00461CD2"/>
    <w:rsid w:val="0046448C"/>
    <w:rsid w:val="00477723"/>
    <w:rsid w:val="00477AC0"/>
    <w:rsid w:val="004818DD"/>
    <w:rsid w:val="00485162"/>
    <w:rsid w:val="00485C6F"/>
    <w:rsid w:val="00497447"/>
    <w:rsid w:val="004A1BE5"/>
    <w:rsid w:val="004A5F8A"/>
    <w:rsid w:val="004B0DED"/>
    <w:rsid w:val="004C37FB"/>
    <w:rsid w:val="004C6B8B"/>
    <w:rsid w:val="004E01E5"/>
    <w:rsid w:val="004F0859"/>
    <w:rsid w:val="004F09A2"/>
    <w:rsid w:val="004F5097"/>
    <w:rsid w:val="004F6D63"/>
    <w:rsid w:val="00500DF2"/>
    <w:rsid w:val="00504E08"/>
    <w:rsid w:val="00505423"/>
    <w:rsid w:val="00507EB3"/>
    <w:rsid w:val="00510E07"/>
    <w:rsid w:val="005115EC"/>
    <w:rsid w:val="00512F25"/>
    <w:rsid w:val="00517D04"/>
    <w:rsid w:val="00523071"/>
    <w:rsid w:val="00523A82"/>
    <w:rsid w:val="00530FC7"/>
    <w:rsid w:val="00543C05"/>
    <w:rsid w:val="00543E00"/>
    <w:rsid w:val="005453FF"/>
    <w:rsid w:val="00546F84"/>
    <w:rsid w:val="00550CF9"/>
    <w:rsid w:val="0057041E"/>
    <w:rsid w:val="005738A5"/>
    <w:rsid w:val="00575100"/>
    <w:rsid w:val="0057780F"/>
    <w:rsid w:val="00582BFF"/>
    <w:rsid w:val="005848A0"/>
    <w:rsid w:val="005849F9"/>
    <w:rsid w:val="00585B75"/>
    <w:rsid w:val="005916A2"/>
    <w:rsid w:val="005966AA"/>
    <w:rsid w:val="00597EC4"/>
    <w:rsid w:val="005A79E9"/>
    <w:rsid w:val="005B0C10"/>
    <w:rsid w:val="005B298C"/>
    <w:rsid w:val="005B7FD8"/>
    <w:rsid w:val="005C24F3"/>
    <w:rsid w:val="005C31A1"/>
    <w:rsid w:val="005C346E"/>
    <w:rsid w:val="005C67E5"/>
    <w:rsid w:val="005F51A3"/>
    <w:rsid w:val="005F6FD3"/>
    <w:rsid w:val="006035CF"/>
    <w:rsid w:val="006037BE"/>
    <w:rsid w:val="0060402B"/>
    <w:rsid w:val="00607225"/>
    <w:rsid w:val="00617617"/>
    <w:rsid w:val="00623FDE"/>
    <w:rsid w:val="00625D80"/>
    <w:rsid w:val="0062682E"/>
    <w:rsid w:val="00631CD8"/>
    <w:rsid w:val="006361ED"/>
    <w:rsid w:val="006545F0"/>
    <w:rsid w:val="00661320"/>
    <w:rsid w:val="00661CAA"/>
    <w:rsid w:val="00667088"/>
    <w:rsid w:val="00667695"/>
    <w:rsid w:val="00676277"/>
    <w:rsid w:val="006814CE"/>
    <w:rsid w:val="00682FE5"/>
    <w:rsid w:val="00685279"/>
    <w:rsid w:val="00692C53"/>
    <w:rsid w:val="006A4A8A"/>
    <w:rsid w:val="006A5931"/>
    <w:rsid w:val="006C5996"/>
    <w:rsid w:val="006E5CE1"/>
    <w:rsid w:val="00702870"/>
    <w:rsid w:val="007047C7"/>
    <w:rsid w:val="00704F2A"/>
    <w:rsid w:val="00705CF0"/>
    <w:rsid w:val="00706776"/>
    <w:rsid w:val="00706FC9"/>
    <w:rsid w:val="0071080A"/>
    <w:rsid w:val="00715D12"/>
    <w:rsid w:val="00717E91"/>
    <w:rsid w:val="007204AF"/>
    <w:rsid w:val="00720E30"/>
    <w:rsid w:val="007321EC"/>
    <w:rsid w:val="00732B6F"/>
    <w:rsid w:val="00733C7E"/>
    <w:rsid w:val="00733DE3"/>
    <w:rsid w:val="007362D3"/>
    <w:rsid w:val="00737EC9"/>
    <w:rsid w:val="00742439"/>
    <w:rsid w:val="00743F47"/>
    <w:rsid w:val="00745B2A"/>
    <w:rsid w:val="007463EA"/>
    <w:rsid w:val="007470BC"/>
    <w:rsid w:val="007471B6"/>
    <w:rsid w:val="00752112"/>
    <w:rsid w:val="00763CC8"/>
    <w:rsid w:val="007723DD"/>
    <w:rsid w:val="00787476"/>
    <w:rsid w:val="00796794"/>
    <w:rsid w:val="007A573F"/>
    <w:rsid w:val="007B66B3"/>
    <w:rsid w:val="007B673B"/>
    <w:rsid w:val="007C2B1D"/>
    <w:rsid w:val="007C4259"/>
    <w:rsid w:val="007D3B89"/>
    <w:rsid w:val="007D4DF2"/>
    <w:rsid w:val="007D6F48"/>
    <w:rsid w:val="007E1E6F"/>
    <w:rsid w:val="007E2B21"/>
    <w:rsid w:val="007E4D30"/>
    <w:rsid w:val="007F57D0"/>
    <w:rsid w:val="00802469"/>
    <w:rsid w:val="00806FE6"/>
    <w:rsid w:val="00810F08"/>
    <w:rsid w:val="00845C36"/>
    <w:rsid w:val="008537D9"/>
    <w:rsid w:val="00860785"/>
    <w:rsid w:val="00871CF7"/>
    <w:rsid w:val="00873BE0"/>
    <w:rsid w:val="008854A7"/>
    <w:rsid w:val="00892E2D"/>
    <w:rsid w:val="00895758"/>
    <w:rsid w:val="008A3BE7"/>
    <w:rsid w:val="008B3A8B"/>
    <w:rsid w:val="008B7D35"/>
    <w:rsid w:val="008C3692"/>
    <w:rsid w:val="008C5F2E"/>
    <w:rsid w:val="008D236C"/>
    <w:rsid w:val="008D5272"/>
    <w:rsid w:val="008D7559"/>
    <w:rsid w:val="008F3C2E"/>
    <w:rsid w:val="009005E0"/>
    <w:rsid w:val="00904B8D"/>
    <w:rsid w:val="00905B0C"/>
    <w:rsid w:val="00907839"/>
    <w:rsid w:val="00910BAF"/>
    <w:rsid w:val="0092024E"/>
    <w:rsid w:val="00924B3F"/>
    <w:rsid w:val="00926677"/>
    <w:rsid w:val="00930A63"/>
    <w:rsid w:val="0093335C"/>
    <w:rsid w:val="0094120C"/>
    <w:rsid w:val="009462C5"/>
    <w:rsid w:val="0094633B"/>
    <w:rsid w:val="009503DD"/>
    <w:rsid w:val="009555B4"/>
    <w:rsid w:val="0096080A"/>
    <w:rsid w:val="00963200"/>
    <w:rsid w:val="00972E0D"/>
    <w:rsid w:val="00973D48"/>
    <w:rsid w:val="00975A27"/>
    <w:rsid w:val="00980CE4"/>
    <w:rsid w:val="00992768"/>
    <w:rsid w:val="0099570D"/>
    <w:rsid w:val="009A593C"/>
    <w:rsid w:val="009B0530"/>
    <w:rsid w:val="009B28AE"/>
    <w:rsid w:val="009B381B"/>
    <w:rsid w:val="009B3AC9"/>
    <w:rsid w:val="009B74CA"/>
    <w:rsid w:val="009C0AF6"/>
    <w:rsid w:val="009C154B"/>
    <w:rsid w:val="009E028A"/>
    <w:rsid w:val="009E31B1"/>
    <w:rsid w:val="009E4D62"/>
    <w:rsid w:val="009E54CA"/>
    <w:rsid w:val="009F0BBF"/>
    <w:rsid w:val="009F2B02"/>
    <w:rsid w:val="00A0276E"/>
    <w:rsid w:val="00A06B4E"/>
    <w:rsid w:val="00A31935"/>
    <w:rsid w:val="00A46117"/>
    <w:rsid w:val="00A46EAF"/>
    <w:rsid w:val="00A57692"/>
    <w:rsid w:val="00A57DEE"/>
    <w:rsid w:val="00A6246D"/>
    <w:rsid w:val="00A63E62"/>
    <w:rsid w:val="00A82A68"/>
    <w:rsid w:val="00A94D1C"/>
    <w:rsid w:val="00A95011"/>
    <w:rsid w:val="00AA00B4"/>
    <w:rsid w:val="00AA129E"/>
    <w:rsid w:val="00AA3523"/>
    <w:rsid w:val="00AA5388"/>
    <w:rsid w:val="00AA70D0"/>
    <w:rsid w:val="00AB5622"/>
    <w:rsid w:val="00AB6B2A"/>
    <w:rsid w:val="00AD1438"/>
    <w:rsid w:val="00AD4DAD"/>
    <w:rsid w:val="00AE2C33"/>
    <w:rsid w:val="00AF27B3"/>
    <w:rsid w:val="00AF348D"/>
    <w:rsid w:val="00AF5A4A"/>
    <w:rsid w:val="00AF7895"/>
    <w:rsid w:val="00B0411F"/>
    <w:rsid w:val="00B053D4"/>
    <w:rsid w:val="00B07D2B"/>
    <w:rsid w:val="00B1762B"/>
    <w:rsid w:val="00B17B51"/>
    <w:rsid w:val="00B26966"/>
    <w:rsid w:val="00B339D2"/>
    <w:rsid w:val="00B41FEC"/>
    <w:rsid w:val="00B421BB"/>
    <w:rsid w:val="00B47A49"/>
    <w:rsid w:val="00B47FF6"/>
    <w:rsid w:val="00B522B1"/>
    <w:rsid w:val="00B53E4F"/>
    <w:rsid w:val="00B733CC"/>
    <w:rsid w:val="00B74177"/>
    <w:rsid w:val="00B8434C"/>
    <w:rsid w:val="00B8449C"/>
    <w:rsid w:val="00B87418"/>
    <w:rsid w:val="00BA7DAB"/>
    <w:rsid w:val="00BB3DB2"/>
    <w:rsid w:val="00BB454F"/>
    <w:rsid w:val="00BC0D51"/>
    <w:rsid w:val="00BE1350"/>
    <w:rsid w:val="00BE1EA2"/>
    <w:rsid w:val="00BE52E5"/>
    <w:rsid w:val="00C00B59"/>
    <w:rsid w:val="00C04728"/>
    <w:rsid w:val="00C22949"/>
    <w:rsid w:val="00C26BAB"/>
    <w:rsid w:val="00C368E3"/>
    <w:rsid w:val="00C40E11"/>
    <w:rsid w:val="00C412DD"/>
    <w:rsid w:val="00C4689F"/>
    <w:rsid w:val="00C46EA7"/>
    <w:rsid w:val="00C4771F"/>
    <w:rsid w:val="00C50C11"/>
    <w:rsid w:val="00C5182E"/>
    <w:rsid w:val="00C57649"/>
    <w:rsid w:val="00C6037D"/>
    <w:rsid w:val="00C72106"/>
    <w:rsid w:val="00C74DEC"/>
    <w:rsid w:val="00C8235B"/>
    <w:rsid w:val="00C87F07"/>
    <w:rsid w:val="00C946D5"/>
    <w:rsid w:val="00CB2011"/>
    <w:rsid w:val="00CB34D3"/>
    <w:rsid w:val="00CC0464"/>
    <w:rsid w:val="00CC4CE6"/>
    <w:rsid w:val="00CC59B1"/>
    <w:rsid w:val="00CE15BC"/>
    <w:rsid w:val="00CE1A6F"/>
    <w:rsid w:val="00CE1F17"/>
    <w:rsid w:val="00CE517F"/>
    <w:rsid w:val="00CF3602"/>
    <w:rsid w:val="00D0228D"/>
    <w:rsid w:val="00D0338E"/>
    <w:rsid w:val="00D223B0"/>
    <w:rsid w:val="00D235F6"/>
    <w:rsid w:val="00D2386C"/>
    <w:rsid w:val="00D3037A"/>
    <w:rsid w:val="00D37583"/>
    <w:rsid w:val="00D37867"/>
    <w:rsid w:val="00D422DD"/>
    <w:rsid w:val="00D55399"/>
    <w:rsid w:val="00D55E47"/>
    <w:rsid w:val="00D6556C"/>
    <w:rsid w:val="00D70C45"/>
    <w:rsid w:val="00D73D6E"/>
    <w:rsid w:val="00D75914"/>
    <w:rsid w:val="00D8385E"/>
    <w:rsid w:val="00D86DCD"/>
    <w:rsid w:val="00D93751"/>
    <w:rsid w:val="00D96F81"/>
    <w:rsid w:val="00D97C7D"/>
    <w:rsid w:val="00DA493C"/>
    <w:rsid w:val="00DB4DF9"/>
    <w:rsid w:val="00DB588E"/>
    <w:rsid w:val="00DB7FAE"/>
    <w:rsid w:val="00DC3DCD"/>
    <w:rsid w:val="00DD4B0A"/>
    <w:rsid w:val="00DD5F0C"/>
    <w:rsid w:val="00DD7B97"/>
    <w:rsid w:val="00DF311F"/>
    <w:rsid w:val="00DF5CB0"/>
    <w:rsid w:val="00E1673D"/>
    <w:rsid w:val="00E17483"/>
    <w:rsid w:val="00E24B08"/>
    <w:rsid w:val="00E3099E"/>
    <w:rsid w:val="00E30DAB"/>
    <w:rsid w:val="00E32E69"/>
    <w:rsid w:val="00E350D2"/>
    <w:rsid w:val="00E351A7"/>
    <w:rsid w:val="00E40D3D"/>
    <w:rsid w:val="00E41069"/>
    <w:rsid w:val="00E50A2F"/>
    <w:rsid w:val="00E5186E"/>
    <w:rsid w:val="00E5382D"/>
    <w:rsid w:val="00E63B58"/>
    <w:rsid w:val="00E66B47"/>
    <w:rsid w:val="00E6764F"/>
    <w:rsid w:val="00E70D71"/>
    <w:rsid w:val="00E71E38"/>
    <w:rsid w:val="00E76F97"/>
    <w:rsid w:val="00E87DB0"/>
    <w:rsid w:val="00E946C3"/>
    <w:rsid w:val="00EA03D9"/>
    <w:rsid w:val="00EA2304"/>
    <w:rsid w:val="00EA243B"/>
    <w:rsid w:val="00EA4C9D"/>
    <w:rsid w:val="00EA6DE5"/>
    <w:rsid w:val="00EC4D0D"/>
    <w:rsid w:val="00EC7DAB"/>
    <w:rsid w:val="00ED3DE6"/>
    <w:rsid w:val="00EE048B"/>
    <w:rsid w:val="00EE14D8"/>
    <w:rsid w:val="00EE1808"/>
    <w:rsid w:val="00EE5329"/>
    <w:rsid w:val="00EF0F82"/>
    <w:rsid w:val="00EF2741"/>
    <w:rsid w:val="00F0277F"/>
    <w:rsid w:val="00F03534"/>
    <w:rsid w:val="00F13FAC"/>
    <w:rsid w:val="00F14329"/>
    <w:rsid w:val="00F147DE"/>
    <w:rsid w:val="00F1661A"/>
    <w:rsid w:val="00F2380D"/>
    <w:rsid w:val="00F300E0"/>
    <w:rsid w:val="00F4008F"/>
    <w:rsid w:val="00F5529D"/>
    <w:rsid w:val="00F5761B"/>
    <w:rsid w:val="00F630DD"/>
    <w:rsid w:val="00F714ED"/>
    <w:rsid w:val="00F75EBD"/>
    <w:rsid w:val="00F76CE7"/>
    <w:rsid w:val="00F861A5"/>
    <w:rsid w:val="00F87BF8"/>
    <w:rsid w:val="00FB2785"/>
    <w:rsid w:val="00FB2852"/>
    <w:rsid w:val="00FC021A"/>
    <w:rsid w:val="00FC4AA1"/>
    <w:rsid w:val="00FC7ECE"/>
    <w:rsid w:val="00FD02F0"/>
    <w:rsid w:val="00FE747B"/>
    <w:rsid w:val="00FF3498"/>
    <w:rsid w:val="00FF5105"/>
    <w:rsid w:val="00FF5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AEE82"/>
  <w15:docId w15:val="{E9BE9D84-158D-4DBC-AC85-F631D08D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2490A"/>
    <w:pPr>
      <w:widowControl w:val="0"/>
      <w:autoSpaceDE w:val="0"/>
      <w:autoSpaceDN w:val="0"/>
      <w:adjustRightInd w:val="0"/>
      <w:spacing w:after="0" w:line="360" w:lineRule="auto"/>
    </w:pPr>
    <w:rPr>
      <w:rFonts w:ascii="Times New Roman" w:eastAsiaTheme="minorEastAsia" w:hAnsi="Times New Roman" w:cs="Arial"/>
      <w:sz w:val="24"/>
      <w:szCs w:val="20"/>
      <w:lang w:eastAsia="pl-PL"/>
    </w:rPr>
  </w:style>
  <w:style w:type="paragraph" w:styleId="Nagwek1">
    <w:name w:val="heading 1"/>
    <w:basedOn w:val="Normalny"/>
    <w:next w:val="Normalny"/>
    <w:link w:val="Nagwek1Znak"/>
    <w:uiPriority w:val="9"/>
    <w:qFormat/>
    <w:rsid w:val="00582B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82BF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rsid w:val="0002490A"/>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basedOn w:val="Domylnaczcionkaakapitu"/>
    <w:link w:val="Nagwek"/>
    <w:uiPriority w:val="99"/>
    <w:semiHidden/>
    <w:rsid w:val="0002490A"/>
    <w:rPr>
      <w:rFonts w:ascii="Times" w:eastAsia="Times New Roman" w:hAnsi="Times" w:cs="Times New Roman"/>
      <w:kern w:val="1"/>
      <w:sz w:val="24"/>
      <w:szCs w:val="24"/>
      <w:lang w:eastAsia="ar-SA"/>
    </w:rPr>
  </w:style>
  <w:style w:type="paragraph" w:customStyle="1" w:styleId="ARTartustawynprozporzdzenia">
    <w:name w:val="ART(§) – art. ustawy (§ np. rozporządzenia)"/>
    <w:uiPriority w:val="11"/>
    <w:qFormat/>
    <w:rsid w:val="0002490A"/>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DATAAKTUdatauchwalenialubwydaniaaktu">
    <w:name w:val="DATA_AKTU – data uchwalenia lub wydania aktu"/>
    <w:next w:val="TYTUAKTUprzedmiotregulacjiustawylubrozporzdzenia"/>
    <w:uiPriority w:val="6"/>
    <w:qFormat/>
    <w:rsid w:val="0002490A"/>
    <w:pPr>
      <w:keepNext/>
      <w:suppressAutoHyphens/>
      <w:spacing w:before="120" w:after="120" w:line="360" w:lineRule="auto"/>
      <w:jc w:val="center"/>
    </w:pPr>
    <w:rPr>
      <w:rFonts w:ascii="Times" w:eastAsiaTheme="minorEastAsia" w:hAnsi="Times" w:cs="Arial"/>
      <w:bCs/>
      <w:sz w:val="24"/>
      <w:szCs w:val="24"/>
      <w:lang w:eastAsia="pl-PL"/>
    </w:rPr>
  </w:style>
  <w:style w:type="paragraph" w:customStyle="1" w:styleId="TYTUAKTUprzedmiotregulacjiustawylubrozporzdzenia">
    <w:name w:val="TYTUŁ_AKTU – przedmiot regulacji ustawy lub rozporządzenia"/>
    <w:next w:val="ARTartustawynprozporzdzenia"/>
    <w:uiPriority w:val="6"/>
    <w:qFormat/>
    <w:rsid w:val="0002490A"/>
    <w:pPr>
      <w:keepNext/>
      <w:suppressAutoHyphens/>
      <w:spacing w:before="120" w:after="360" w:line="360" w:lineRule="auto"/>
      <w:jc w:val="center"/>
    </w:pPr>
    <w:rPr>
      <w:rFonts w:ascii="Times" w:eastAsiaTheme="minorEastAsia" w:hAnsi="Times" w:cs="Arial"/>
      <w:b/>
      <w:bCs/>
      <w:sz w:val="24"/>
      <w:szCs w:val="24"/>
      <w:lang w:eastAsia="pl-PL"/>
    </w:rPr>
  </w:style>
  <w:style w:type="paragraph" w:customStyle="1" w:styleId="OZNRODZAKTUtznustawalubrozporzdzenieiorganwydajcy">
    <w:name w:val="OZN_RODZ_AKTU – tzn. ustawa lub rozporządzenie i organ wydający"/>
    <w:next w:val="DATAAKTUdatauchwalenialubwydaniaaktu"/>
    <w:uiPriority w:val="5"/>
    <w:qFormat/>
    <w:rsid w:val="0002490A"/>
    <w:pPr>
      <w:keepNext/>
      <w:suppressAutoHyphens/>
      <w:spacing w:after="120" w:line="360" w:lineRule="auto"/>
      <w:jc w:val="center"/>
    </w:pPr>
    <w:rPr>
      <w:rFonts w:ascii="Times" w:eastAsia="Times New Roman" w:hAnsi="Times" w:cs="Times New Roman"/>
      <w:b/>
      <w:bCs/>
      <w:caps/>
      <w:spacing w:val="54"/>
      <w:kern w:val="24"/>
      <w:sz w:val="24"/>
      <w:szCs w:val="24"/>
      <w:lang w:eastAsia="pl-PL"/>
    </w:rPr>
  </w:style>
  <w:style w:type="paragraph" w:customStyle="1" w:styleId="ODNONIKtreodnonika">
    <w:name w:val="ODNOŚNIK – treść odnośnika"/>
    <w:uiPriority w:val="99"/>
    <w:qFormat/>
    <w:rsid w:val="0002490A"/>
    <w:pPr>
      <w:spacing w:after="0" w:line="240" w:lineRule="auto"/>
      <w:ind w:left="284" w:hanging="284"/>
      <w:jc w:val="both"/>
    </w:pPr>
    <w:rPr>
      <w:rFonts w:ascii="Times New Roman" w:eastAsiaTheme="minorEastAsia" w:hAnsi="Times New Roman" w:cs="Arial"/>
      <w:sz w:val="20"/>
      <w:szCs w:val="20"/>
      <w:lang w:eastAsia="pl-PL"/>
    </w:rPr>
  </w:style>
  <w:style w:type="paragraph" w:customStyle="1" w:styleId="TYTTABELItytutabeli">
    <w:name w:val="TYT_TABELI – tytuł tabeli"/>
    <w:basedOn w:val="Normalny"/>
    <w:uiPriority w:val="22"/>
    <w:qFormat/>
    <w:rsid w:val="0002490A"/>
    <w:pPr>
      <w:keepNext/>
      <w:widowControl/>
      <w:autoSpaceDE/>
      <w:autoSpaceDN/>
      <w:adjustRightInd/>
      <w:spacing w:before="120"/>
      <w:jc w:val="center"/>
    </w:pPr>
    <w:rPr>
      <w:rFonts w:ascii="Times" w:hAnsi="Times"/>
      <w:b/>
      <w:bCs/>
      <w:caps/>
      <w:kern w:val="24"/>
      <w:szCs w:val="24"/>
    </w:rPr>
  </w:style>
  <w:style w:type="paragraph" w:customStyle="1" w:styleId="NAZORGWYDnazwaorganuwydajcegoprojektowanyakt">
    <w:name w:val="NAZ_ORG_WYD – nazwa organu wydającego projektowany akt"/>
    <w:basedOn w:val="OZNRODZAKTUtznustawalubrozporzdzenieiorganwydajcy"/>
    <w:uiPriority w:val="27"/>
    <w:qFormat/>
    <w:rsid w:val="0002490A"/>
    <w:pPr>
      <w:ind w:left="4820"/>
    </w:pPr>
    <w:rPr>
      <w:spacing w:val="0"/>
    </w:rPr>
  </w:style>
  <w:style w:type="paragraph" w:customStyle="1" w:styleId="OZNZACZNIKAwskazanienrzacznika">
    <w:name w:val="OZN_ZAŁĄCZNIKA – wskazanie nr załącznika"/>
    <w:basedOn w:val="Normalny"/>
    <w:qFormat/>
    <w:rsid w:val="0002490A"/>
    <w:pPr>
      <w:keepNext/>
      <w:widowControl/>
      <w:autoSpaceDE/>
      <w:autoSpaceDN/>
      <w:adjustRightInd/>
      <w:jc w:val="right"/>
    </w:pPr>
    <w:rPr>
      <w:b/>
    </w:rPr>
  </w:style>
  <w:style w:type="character" w:customStyle="1" w:styleId="IGindeksgrny">
    <w:name w:val="_IG_ – indeks górny"/>
    <w:basedOn w:val="Domylnaczcionkaakapitu"/>
    <w:qFormat/>
    <w:rsid w:val="0002490A"/>
    <w:rPr>
      <w:b w:val="0"/>
      <w:i w:val="0"/>
      <w:vanish w:val="0"/>
      <w:spacing w:val="0"/>
      <w:vertAlign w:val="superscript"/>
    </w:rPr>
  </w:style>
  <w:style w:type="character" w:customStyle="1" w:styleId="IGPindeksgrnyipogrubienie">
    <w:name w:val="_IG_P_ – indeks górny i pogrubienie"/>
    <w:basedOn w:val="Domylnaczcionkaakapitu"/>
    <w:uiPriority w:val="2"/>
    <w:qFormat/>
    <w:rsid w:val="0002490A"/>
    <w:rPr>
      <w:b/>
      <w:vanish w:val="0"/>
      <w:spacing w:val="0"/>
      <w:vertAlign w:val="superscript"/>
    </w:rPr>
  </w:style>
  <w:style w:type="character" w:customStyle="1" w:styleId="Ppogrubienie">
    <w:name w:val="_P_ – pogrubienie"/>
    <w:basedOn w:val="Domylnaczcionkaakapitu"/>
    <w:uiPriority w:val="99"/>
    <w:qFormat/>
    <w:rsid w:val="0002490A"/>
    <w:rPr>
      <w:b/>
    </w:rPr>
  </w:style>
  <w:style w:type="paragraph" w:styleId="Listanumerowana2">
    <w:name w:val="List Number 2"/>
    <w:basedOn w:val="Normalny"/>
    <w:uiPriority w:val="99"/>
    <w:unhideWhenUsed/>
    <w:rsid w:val="0002490A"/>
    <w:pPr>
      <w:numPr>
        <w:numId w:val="1"/>
      </w:numPr>
      <w:contextualSpacing/>
    </w:pPr>
  </w:style>
  <w:style w:type="table" w:styleId="Tabela-Siatka">
    <w:name w:val="Table Grid"/>
    <w:basedOn w:val="Standardowy"/>
    <w:uiPriority w:val="39"/>
    <w:rsid w:val="0002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2490A"/>
    <w:pPr>
      <w:spacing w:after="0" w:line="240" w:lineRule="auto"/>
    </w:pPr>
    <w:rPr>
      <w:rFonts w:eastAsiaTheme="minorEastAsia"/>
      <w:lang w:eastAsia="pl-PL"/>
    </w:rPr>
    <w:tblPr>
      <w:tblCellMar>
        <w:top w:w="0" w:type="dxa"/>
        <w:left w:w="0" w:type="dxa"/>
        <w:bottom w:w="0" w:type="dxa"/>
        <w:right w:w="0" w:type="dxa"/>
      </w:tblCellMar>
    </w:tblPr>
  </w:style>
  <w:style w:type="paragraph" w:styleId="Poprawka">
    <w:name w:val="Revision"/>
    <w:hidden/>
    <w:uiPriority w:val="99"/>
    <w:semiHidden/>
    <w:rsid w:val="00F14329"/>
    <w:pPr>
      <w:spacing w:after="0" w:line="240" w:lineRule="auto"/>
    </w:pPr>
    <w:rPr>
      <w:rFonts w:ascii="Times New Roman" w:eastAsiaTheme="minorEastAsia" w:hAnsi="Times New Roman" w:cs="Arial"/>
      <w:sz w:val="24"/>
      <w:szCs w:val="20"/>
      <w:lang w:eastAsia="pl-PL"/>
    </w:rPr>
  </w:style>
  <w:style w:type="character" w:styleId="Odwoaniedokomentarza">
    <w:name w:val="annotation reference"/>
    <w:basedOn w:val="Domylnaczcionkaakapitu"/>
    <w:uiPriority w:val="99"/>
    <w:semiHidden/>
    <w:unhideWhenUsed/>
    <w:rsid w:val="00682FE5"/>
    <w:rPr>
      <w:sz w:val="16"/>
      <w:szCs w:val="16"/>
    </w:rPr>
  </w:style>
  <w:style w:type="paragraph" w:styleId="Tekstkomentarza">
    <w:name w:val="annotation text"/>
    <w:basedOn w:val="Normalny"/>
    <w:link w:val="TekstkomentarzaZnak"/>
    <w:uiPriority w:val="99"/>
    <w:unhideWhenUsed/>
    <w:rsid w:val="00682FE5"/>
    <w:pPr>
      <w:spacing w:line="240" w:lineRule="auto"/>
    </w:pPr>
    <w:rPr>
      <w:sz w:val="20"/>
    </w:rPr>
  </w:style>
  <w:style w:type="character" w:customStyle="1" w:styleId="TekstkomentarzaZnak">
    <w:name w:val="Tekst komentarza Znak"/>
    <w:basedOn w:val="Domylnaczcionkaakapitu"/>
    <w:link w:val="Tekstkomentarza"/>
    <w:uiPriority w:val="99"/>
    <w:rsid w:val="00682FE5"/>
    <w:rPr>
      <w:rFonts w:ascii="Times New Roman" w:eastAsiaTheme="minorEastAsia" w:hAnsi="Times New Roman"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682FE5"/>
    <w:rPr>
      <w:b/>
      <w:bCs/>
    </w:rPr>
  </w:style>
  <w:style w:type="character" w:customStyle="1" w:styleId="TematkomentarzaZnak">
    <w:name w:val="Temat komentarza Znak"/>
    <w:basedOn w:val="TekstkomentarzaZnak"/>
    <w:link w:val="Tematkomentarza"/>
    <w:uiPriority w:val="99"/>
    <w:semiHidden/>
    <w:rsid w:val="00682FE5"/>
    <w:rPr>
      <w:rFonts w:ascii="Times New Roman" w:eastAsiaTheme="minorEastAsia" w:hAnsi="Times New Roman" w:cs="Arial"/>
      <w:b/>
      <w:bCs/>
      <w:sz w:val="20"/>
      <w:szCs w:val="20"/>
      <w:lang w:eastAsia="pl-PL"/>
    </w:rPr>
  </w:style>
  <w:style w:type="paragraph" w:styleId="Tekstdymka">
    <w:name w:val="Balloon Text"/>
    <w:basedOn w:val="Normalny"/>
    <w:link w:val="TekstdymkaZnak"/>
    <w:uiPriority w:val="99"/>
    <w:semiHidden/>
    <w:unhideWhenUsed/>
    <w:rsid w:val="00D3786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7867"/>
    <w:rPr>
      <w:rFonts w:ascii="Segoe UI" w:eastAsiaTheme="minorEastAsia" w:hAnsi="Segoe UI" w:cs="Segoe UI"/>
      <w:sz w:val="18"/>
      <w:szCs w:val="18"/>
      <w:lang w:eastAsia="pl-PL"/>
    </w:rPr>
  </w:style>
  <w:style w:type="paragraph" w:styleId="Akapitzlist">
    <w:name w:val="List Paragraph"/>
    <w:basedOn w:val="Normalny"/>
    <w:uiPriority w:val="34"/>
    <w:qFormat/>
    <w:rsid w:val="009005E0"/>
    <w:pPr>
      <w:ind w:left="720"/>
      <w:contextualSpacing/>
    </w:pPr>
  </w:style>
  <w:style w:type="character" w:customStyle="1" w:styleId="Nagwek2Znak">
    <w:name w:val="Nagłówek 2 Znak"/>
    <w:basedOn w:val="Domylnaczcionkaakapitu"/>
    <w:link w:val="Nagwek2"/>
    <w:uiPriority w:val="9"/>
    <w:rsid w:val="00582BFF"/>
    <w:rPr>
      <w:rFonts w:asciiTheme="majorHAnsi" w:eastAsiaTheme="majorEastAsia" w:hAnsiTheme="majorHAnsi" w:cstheme="majorBidi"/>
      <w:color w:val="2F5496" w:themeColor="accent1" w:themeShade="BF"/>
      <w:sz w:val="26"/>
      <w:szCs w:val="26"/>
      <w:lang w:eastAsia="pl-PL"/>
    </w:rPr>
  </w:style>
  <w:style w:type="character" w:customStyle="1" w:styleId="Nagwek1Znak">
    <w:name w:val="Nagłówek 1 Znak"/>
    <w:basedOn w:val="Domylnaczcionkaakapitu"/>
    <w:link w:val="Nagwek1"/>
    <w:uiPriority w:val="9"/>
    <w:rsid w:val="00582BFF"/>
    <w:rPr>
      <w:rFonts w:asciiTheme="majorHAnsi" w:eastAsiaTheme="majorEastAsia" w:hAnsiTheme="majorHAnsi" w:cstheme="majorBidi"/>
      <w:color w:val="2F5496" w:themeColor="accent1" w:themeShade="BF"/>
      <w:sz w:val="32"/>
      <w:szCs w:val="32"/>
      <w:lang w:eastAsia="pl-PL"/>
    </w:rPr>
  </w:style>
  <w:style w:type="character" w:styleId="Hipercze">
    <w:name w:val="Hyperlink"/>
    <w:basedOn w:val="Domylnaczcionkaakapitu"/>
    <w:uiPriority w:val="99"/>
    <w:unhideWhenUsed/>
    <w:rsid w:val="008D236C"/>
    <w:rPr>
      <w:color w:val="0563C1" w:themeColor="hyperlink"/>
      <w:u w:val="single"/>
    </w:rPr>
  </w:style>
  <w:style w:type="character" w:customStyle="1" w:styleId="Nierozpoznanawzmianka1">
    <w:name w:val="Nierozpoznana wzmianka1"/>
    <w:basedOn w:val="Domylnaczcionkaakapitu"/>
    <w:uiPriority w:val="99"/>
    <w:semiHidden/>
    <w:unhideWhenUsed/>
    <w:rsid w:val="008D236C"/>
    <w:rPr>
      <w:color w:val="605E5C"/>
      <w:shd w:val="clear" w:color="auto" w:fill="E1DFDD"/>
    </w:rPr>
  </w:style>
  <w:style w:type="paragraph" w:styleId="NormalnyWeb">
    <w:name w:val="Normal (Web)"/>
    <w:basedOn w:val="Normalny"/>
    <w:uiPriority w:val="99"/>
    <w:semiHidden/>
    <w:unhideWhenUsed/>
    <w:rsid w:val="0045371F"/>
    <w:pPr>
      <w:widowControl/>
      <w:autoSpaceDE/>
      <w:autoSpaceDN/>
      <w:adjustRightInd/>
      <w:spacing w:before="100" w:beforeAutospacing="1" w:after="100" w:afterAutospacing="1" w:line="240" w:lineRule="auto"/>
    </w:pPr>
    <w:rPr>
      <w:rFonts w:eastAsia="Times New Roman" w:cs="Times New Roman"/>
      <w:szCs w:val="24"/>
    </w:rPr>
  </w:style>
  <w:style w:type="character" w:styleId="Pogrubienie">
    <w:name w:val="Strong"/>
    <w:basedOn w:val="Domylnaczcionkaakapitu"/>
    <w:uiPriority w:val="22"/>
    <w:qFormat/>
    <w:rsid w:val="0045371F"/>
    <w:rPr>
      <w:b/>
      <w:bCs/>
    </w:rPr>
  </w:style>
  <w:style w:type="paragraph" w:styleId="Stopka">
    <w:name w:val="footer"/>
    <w:basedOn w:val="Normalny"/>
    <w:link w:val="StopkaZnak"/>
    <w:uiPriority w:val="99"/>
    <w:unhideWhenUsed/>
    <w:rsid w:val="00A46EAF"/>
    <w:pPr>
      <w:tabs>
        <w:tab w:val="center" w:pos="4536"/>
        <w:tab w:val="right" w:pos="9072"/>
      </w:tabs>
      <w:spacing w:line="240" w:lineRule="auto"/>
    </w:pPr>
  </w:style>
  <w:style w:type="character" w:customStyle="1" w:styleId="StopkaZnak">
    <w:name w:val="Stopka Znak"/>
    <w:basedOn w:val="Domylnaczcionkaakapitu"/>
    <w:link w:val="Stopka"/>
    <w:uiPriority w:val="99"/>
    <w:rsid w:val="00A46EAF"/>
    <w:rPr>
      <w:rFonts w:ascii="Times New Roman" w:eastAsiaTheme="minorEastAsia" w:hAnsi="Times New Roman" w:cs="Arial"/>
      <w:sz w:val="24"/>
      <w:szCs w:val="20"/>
      <w:lang w:eastAsia="pl-PL"/>
    </w:rPr>
  </w:style>
  <w:style w:type="paragraph" w:styleId="Bezodstpw">
    <w:name w:val="No Spacing"/>
    <w:uiPriority w:val="1"/>
    <w:qFormat/>
    <w:rsid w:val="00871CF7"/>
    <w:pPr>
      <w:widowControl w:val="0"/>
      <w:autoSpaceDE w:val="0"/>
      <w:autoSpaceDN w:val="0"/>
      <w:adjustRightInd w:val="0"/>
      <w:spacing w:after="0" w:line="240" w:lineRule="auto"/>
    </w:pPr>
    <w:rPr>
      <w:rFonts w:ascii="Times New Roman" w:eastAsiaTheme="minorEastAsia" w:hAnsi="Times New Roman" w:cs="Arial"/>
      <w:sz w:val="24"/>
      <w:szCs w:val="20"/>
      <w:lang w:eastAsia="pl-PL"/>
    </w:rPr>
  </w:style>
  <w:style w:type="paragraph" w:styleId="Tytu">
    <w:name w:val="Title"/>
    <w:basedOn w:val="Normalny"/>
    <w:link w:val="TytuZnak"/>
    <w:qFormat/>
    <w:rsid w:val="009F2B02"/>
    <w:pPr>
      <w:widowControl/>
      <w:autoSpaceDE/>
      <w:autoSpaceDN/>
      <w:adjustRightInd/>
      <w:spacing w:line="240" w:lineRule="auto"/>
      <w:jc w:val="center"/>
    </w:pPr>
    <w:rPr>
      <w:rFonts w:ascii="Comic Sans MS" w:eastAsia="Times New Roman" w:hAnsi="Comic Sans MS" w:cs="Times New Roman"/>
      <w:b/>
    </w:rPr>
  </w:style>
  <w:style w:type="character" w:customStyle="1" w:styleId="TytuZnak">
    <w:name w:val="Tytuł Znak"/>
    <w:basedOn w:val="Domylnaczcionkaakapitu"/>
    <w:link w:val="Tytu"/>
    <w:rsid w:val="009F2B02"/>
    <w:rPr>
      <w:rFonts w:ascii="Comic Sans MS" w:eastAsia="Times New Roman" w:hAnsi="Comic Sans MS" w:cs="Times New Roman"/>
      <w:b/>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05687">
      <w:bodyDiv w:val="1"/>
      <w:marLeft w:val="0"/>
      <w:marRight w:val="0"/>
      <w:marTop w:val="0"/>
      <w:marBottom w:val="0"/>
      <w:divBdr>
        <w:top w:val="none" w:sz="0" w:space="0" w:color="auto"/>
        <w:left w:val="none" w:sz="0" w:space="0" w:color="auto"/>
        <w:bottom w:val="none" w:sz="0" w:space="0" w:color="auto"/>
        <w:right w:val="none" w:sz="0" w:space="0" w:color="auto"/>
      </w:divBdr>
    </w:div>
    <w:div w:id="756710788">
      <w:bodyDiv w:val="1"/>
      <w:marLeft w:val="0"/>
      <w:marRight w:val="0"/>
      <w:marTop w:val="0"/>
      <w:marBottom w:val="0"/>
      <w:divBdr>
        <w:top w:val="none" w:sz="0" w:space="0" w:color="auto"/>
        <w:left w:val="none" w:sz="0" w:space="0" w:color="auto"/>
        <w:bottom w:val="none" w:sz="0" w:space="0" w:color="auto"/>
        <w:right w:val="none" w:sz="0" w:space="0" w:color="auto"/>
      </w:divBdr>
    </w:div>
    <w:div w:id="790973268">
      <w:bodyDiv w:val="1"/>
      <w:marLeft w:val="0"/>
      <w:marRight w:val="0"/>
      <w:marTop w:val="0"/>
      <w:marBottom w:val="0"/>
      <w:divBdr>
        <w:top w:val="none" w:sz="0" w:space="0" w:color="auto"/>
        <w:left w:val="none" w:sz="0" w:space="0" w:color="auto"/>
        <w:bottom w:val="none" w:sz="0" w:space="0" w:color="auto"/>
        <w:right w:val="none" w:sz="0" w:space="0" w:color="auto"/>
      </w:divBdr>
      <w:divsChild>
        <w:div w:id="1596589937">
          <w:marLeft w:val="0"/>
          <w:marRight w:val="0"/>
          <w:marTop w:val="0"/>
          <w:marBottom w:val="0"/>
          <w:divBdr>
            <w:top w:val="none" w:sz="0" w:space="0" w:color="F4F4F4"/>
            <w:left w:val="none" w:sz="0" w:space="0" w:color="F4F4F4"/>
            <w:bottom w:val="single" w:sz="6" w:space="0" w:color="F4F4F4"/>
            <w:right w:val="none" w:sz="0" w:space="0" w:color="F4F4F4"/>
          </w:divBdr>
        </w:div>
        <w:div w:id="987244071">
          <w:marLeft w:val="0"/>
          <w:marRight w:val="0"/>
          <w:marTop w:val="450"/>
          <w:marBottom w:val="900"/>
          <w:divBdr>
            <w:top w:val="none" w:sz="0" w:space="0" w:color="auto"/>
            <w:left w:val="none" w:sz="0" w:space="0" w:color="auto"/>
            <w:bottom w:val="none" w:sz="0" w:space="0" w:color="auto"/>
            <w:right w:val="none" w:sz="0" w:space="0" w:color="auto"/>
          </w:divBdr>
        </w:div>
      </w:divsChild>
    </w:div>
    <w:div w:id="1046879916">
      <w:bodyDiv w:val="1"/>
      <w:marLeft w:val="0"/>
      <w:marRight w:val="0"/>
      <w:marTop w:val="0"/>
      <w:marBottom w:val="0"/>
      <w:divBdr>
        <w:top w:val="none" w:sz="0" w:space="0" w:color="auto"/>
        <w:left w:val="none" w:sz="0" w:space="0" w:color="auto"/>
        <w:bottom w:val="none" w:sz="0" w:space="0" w:color="auto"/>
        <w:right w:val="none" w:sz="0" w:space="0" w:color="auto"/>
      </w:divBdr>
    </w:div>
    <w:div w:id="1305936951">
      <w:bodyDiv w:val="1"/>
      <w:marLeft w:val="0"/>
      <w:marRight w:val="0"/>
      <w:marTop w:val="0"/>
      <w:marBottom w:val="0"/>
      <w:divBdr>
        <w:top w:val="none" w:sz="0" w:space="0" w:color="auto"/>
        <w:left w:val="none" w:sz="0" w:space="0" w:color="auto"/>
        <w:bottom w:val="none" w:sz="0" w:space="0" w:color="auto"/>
        <w:right w:val="none" w:sz="0" w:space="0" w:color="auto"/>
      </w:divBdr>
      <w:divsChild>
        <w:div w:id="1194925494">
          <w:marLeft w:val="0"/>
          <w:marRight w:val="0"/>
          <w:marTop w:val="0"/>
          <w:marBottom w:val="0"/>
          <w:divBdr>
            <w:top w:val="none" w:sz="0" w:space="0" w:color="auto"/>
            <w:left w:val="none" w:sz="0" w:space="0" w:color="auto"/>
            <w:bottom w:val="none" w:sz="0" w:space="0" w:color="auto"/>
            <w:right w:val="none" w:sz="0" w:space="0" w:color="auto"/>
          </w:divBdr>
          <w:divsChild>
            <w:div w:id="1206020325">
              <w:marLeft w:val="0"/>
              <w:marRight w:val="0"/>
              <w:marTop w:val="0"/>
              <w:marBottom w:val="0"/>
              <w:divBdr>
                <w:top w:val="none" w:sz="0" w:space="0" w:color="auto"/>
                <w:left w:val="none" w:sz="0" w:space="0" w:color="auto"/>
                <w:bottom w:val="none" w:sz="0" w:space="0" w:color="auto"/>
                <w:right w:val="none" w:sz="0" w:space="0" w:color="auto"/>
              </w:divBdr>
            </w:div>
          </w:divsChild>
        </w:div>
        <w:div w:id="838736313">
          <w:marLeft w:val="0"/>
          <w:marRight w:val="0"/>
          <w:marTop w:val="0"/>
          <w:marBottom w:val="0"/>
          <w:divBdr>
            <w:top w:val="none" w:sz="0" w:space="0" w:color="auto"/>
            <w:left w:val="none" w:sz="0" w:space="0" w:color="auto"/>
            <w:bottom w:val="none" w:sz="0" w:space="0" w:color="auto"/>
            <w:right w:val="none" w:sz="0" w:space="0" w:color="auto"/>
          </w:divBdr>
          <w:divsChild>
            <w:div w:id="892228131">
              <w:marLeft w:val="0"/>
              <w:marRight w:val="0"/>
              <w:marTop w:val="0"/>
              <w:marBottom w:val="0"/>
              <w:divBdr>
                <w:top w:val="none" w:sz="0" w:space="0" w:color="auto"/>
                <w:left w:val="none" w:sz="0" w:space="0" w:color="auto"/>
                <w:bottom w:val="none" w:sz="0" w:space="0" w:color="auto"/>
                <w:right w:val="none" w:sz="0" w:space="0" w:color="auto"/>
              </w:divBdr>
              <w:divsChild>
                <w:div w:id="1928612104">
                  <w:marLeft w:val="0"/>
                  <w:marRight w:val="0"/>
                  <w:marTop w:val="0"/>
                  <w:marBottom w:val="0"/>
                  <w:divBdr>
                    <w:top w:val="none" w:sz="0" w:space="0" w:color="auto"/>
                    <w:left w:val="none" w:sz="0" w:space="0" w:color="auto"/>
                    <w:bottom w:val="none" w:sz="0" w:space="0" w:color="auto"/>
                    <w:right w:val="none" w:sz="0" w:space="0" w:color="auto"/>
                  </w:divBdr>
                </w:div>
                <w:div w:id="1024483033">
                  <w:marLeft w:val="0"/>
                  <w:marRight w:val="0"/>
                  <w:marTop w:val="0"/>
                  <w:marBottom w:val="0"/>
                  <w:divBdr>
                    <w:top w:val="none" w:sz="0" w:space="0" w:color="auto"/>
                    <w:left w:val="none" w:sz="0" w:space="0" w:color="auto"/>
                    <w:bottom w:val="none" w:sz="0" w:space="0" w:color="auto"/>
                    <w:right w:val="none" w:sz="0" w:space="0" w:color="auto"/>
                  </w:divBdr>
                  <w:divsChild>
                    <w:div w:id="1738940890">
                      <w:marLeft w:val="0"/>
                      <w:marRight w:val="0"/>
                      <w:marTop w:val="0"/>
                      <w:marBottom w:val="0"/>
                      <w:divBdr>
                        <w:top w:val="none" w:sz="0" w:space="0" w:color="auto"/>
                        <w:left w:val="none" w:sz="0" w:space="0" w:color="auto"/>
                        <w:bottom w:val="none" w:sz="0" w:space="0" w:color="auto"/>
                        <w:right w:val="none" w:sz="0" w:space="0" w:color="auto"/>
                      </w:divBdr>
                    </w:div>
                  </w:divsChild>
                </w:div>
                <w:div w:id="249509886">
                  <w:marLeft w:val="0"/>
                  <w:marRight w:val="0"/>
                  <w:marTop w:val="0"/>
                  <w:marBottom w:val="0"/>
                  <w:divBdr>
                    <w:top w:val="none" w:sz="0" w:space="0" w:color="auto"/>
                    <w:left w:val="none" w:sz="0" w:space="0" w:color="auto"/>
                    <w:bottom w:val="none" w:sz="0" w:space="0" w:color="auto"/>
                    <w:right w:val="none" w:sz="0" w:space="0" w:color="auto"/>
                  </w:divBdr>
                  <w:divsChild>
                    <w:div w:id="16419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4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C2DD5-E50C-46AF-87C8-308A59E67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1520</Words>
  <Characters>9125</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Grądzik Paulina</dc:creator>
  <cp:lastModifiedBy>Larkowski Paweł</cp:lastModifiedBy>
  <cp:revision>3</cp:revision>
  <cp:lastPrinted>2022-11-23T10:51:00Z</cp:lastPrinted>
  <dcterms:created xsi:type="dcterms:W3CDTF">2023-05-10T08:24:00Z</dcterms:created>
  <dcterms:modified xsi:type="dcterms:W3CDTF">2023-05-10T08:31:00Z</dcterms:modified>
</cp:coreProperties>
</file>